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1E0EB" w14:textId="2AF61C9C" w:rsidR="00B33348" w:rsidRDefault="007C3B27" w:rsidP="002C713B">
      <w:pPr>
        <w:pStyle w:val="20"/>
        <w:shd w:val="clear" w:color="auto" w:fill="auto"/>
        <w:spacing w:after="0"/>
        <w:jc w:val="both"/>
        <w:rPr>
          <w:lang w:val="ru"/>
        </w:rPr>
      </w:pPr>
      <w:r>
        <w:rPr>
          <w:lang w:val="ru"/>
        </w:rPr>
        <w:t>ТОП ЛАЙН ЛТД</w:t>
      </w:r>
    </w:p>
    <w:p w14:paraId="3EB46636" w14:textId="77777777" w:rsidR="0057781B" w:rsidRPr="0057781B" w:rsidRDefault="0057781B" w:rsidP="002C713B">
      <w:pPr>
        <w:pStyle w:val="20"/>
        <w:shd w:val="clear" w:color="auto" w:fill="auto"/>
        <w:spacing w:after="0"/>
        <w:jc w:val="both"/>
        <w:rPr>
          <w:lang w:val="ru-RU"/>
        </w:rPr>
      </w:pPr>
    </w:p>
    <w:p w14:paraId="75DE6FC9" w14:textId="700FD89E" w:rsidR="00B33348" w:rsidRPr="0057781B" w:rsidRDefault="0057781B" w:rsidP="002C713B">
      <w:pPr>
        <w:pStyle w:val="20"/>
        <w:shd w:val="clear" w:color="auto" w:fill="auto"/>
        <w:spacing w:after="0"/>
        <w:jc w:val="both"/>
        <w:rPr>
          <w:lang w:val="ru-RU"/>
        </w:rPr>
      </w:pPr>
      <w:r>
        <w:rPr>
          <w:lang w:val="ru"/>
        </w:rPr>
        <w:t xml:space="preserve">УВЕДОМЛЕНИЕ О РИСКАХ </w:t>
      </w:r>
    </w:p>
    <w:p w14:paraId="41E8F3A5" w14:textId="77777777" w:rsidR="002C713B" w:rsidRPr="0057781B" w:rsidRDefault="002C713B" w:rsidP="002C713B">
      <w:pPr>
        <w:pStyle w:val="1"/>
        <w:shd w:val="clear" w:color="auto" w:fill="auto"/>
        <w:spacing w:after="0" w:line="240" w:lineRule="auto"/>
        <w:jc w:val="both"/>
        <w:rPr>
          <w:lang w:val="ru-RU"/>
        </w:rPr>
      </w:pPr>
    </w:p>
    <w:p w14:paraId="124D4F36" w14:textId="77777777" w:rsidR="002C713B" w:rsidRPr="0057781B" w:rsidRDefault="002C713B" w:rsidP="002C713B">
      <w:pPr>
        <w:pStyle w:val="1"/>
        <w:shd w:val="clear" w:color="auto" w:fill="auto"/>
        <w:spacing w:after="0" w:line="240" w:lineRule="auto"/>
        <w:jc w:val="both"/>
        <w:rPr>
          <w:lang w:val="ru-RU"/>
        </w:rPr>
      </w:pPr>
    </w:p>
    <w:p w14:paraId="6EA303E6" w14:textId="77777777" w:rsidR="002C713B" w:rsidRPr="0057781B" w:rsidRDefault="002C713B" w:rsidP="002C713B">
      <w:pPr>
        <w:pStyle w:val="1"/>
        <w:shd w:val="clear" w:color="auto" w:fill="auto"/>
        <w:spacing w:after="0" w:line="240" w:lineRule="auto"/>
        <w:jc w:val="both"/>
        <w:rPr>
          <w:lang w:val="ru-RU"/>
        </w:rPr>
      </w:pPr>
    </w:p>
    <w:p w14:paraId="7B7A37E4" w14:textId="77777777" w:rsidR="002C713B" w:rsidRPr="0057781B" w:rsidRDefault="002C713B" w:rsidP="002C713B">
      <w:pPr>
        <w:pStyle w:val="1"/>
        <w:shd w:val="clear" w:color="auto" w:fill="auto"/>
        <w:spacing w:after="0" w:line="240" w:lineRule="auto"/>
        <w:jc w:val="both"/>
        <w:rPr>
          <w:lang w:val="ru-RU"/>
        </w:rPr>
      </w:pPr>
    </w:p>
    <w:p w14:paraId="338182E0" w14:textId="77777777" w:rsidR="002C713B" w:rsidRPr="0057781B" w:rsidRDefault="002C713B" w:rsidP="002C713B">
      <w:pPr>
        <w:pStyle w:val="1"/>
        <w:shd w:val="clear" w:color="auto" w:fill="auto"/>
        <w:spacing w:after="0" w:line="240" w:lineRule="auto"/>
        <w:jc w:val="both"/>
        <w:rPr>
          <w:lang w:val="ru-RU"/>
        </w:rPr>
      </w:pPr>
    </w:p>
    <w:p w14:paraId="6ADBDC62" w14:textId="77777777" w:rsidR="002C713B" w:rsidRPr="0057781B" w:rsidRDefault="002C713B" w:rsidP="002C713B">
      <w:pPr>
        <w:pStyle w:val="1"/>
        <w:shd w:val="clear" w:color="auto" w:fill="auto"/>
        <w:spacing w:after="0" w:line="240" w:lineRule="auto"/>
        <w:jc w:val="both"/>
        <w:rPr>
          <w:lang w:val="ru-RU"/>
        </w:rPr>
      </w:pPr>
    </w:p>
    <w:p w14:paraId="690CC483" w14:textId="77777777" w:rsidR="002C713B" w:rsidRPr="0057781B" w:rsidRDefault="002C713B" w:rsidP="002C713B">
      <w:pPr>
        <w:pStyle w:val="1"/>
        <w:shd w:val="clear" w:color="auto" w:fill="auto"/>
        <w:spacing w:after="0" w:line="240" w:lineRule="auto"/>
        <w:jc w:val="both"/>
        <w:rPr>
          <w:lang w:val="ru-RU"/>
        </w:rPr>
      </w:pPr>
    </w:p>
    <w:p w14:paraId="7174C09D" w14:textId="77777777" w:rsidR="002C713B" w:rsidRPr="0057781B" w:rsidRDefault="002C713B" w:rsidP="002C713B">
      <w:pPr>
        <w:pStyle w:val="1"/>
        <w:shd w:val="clear" w:color="auto" w:fill="auto"/>
        <w:spacing w:after="0" w:line="240" w:lineRule="auto"/>
        <w:jc w:val="both"/>
        <w:rPr>
          <w:lang w:val="ru-RU"/>
        </w:rPr>
      </w:pPr>
    </w:p>
    <w:p w14:paraId="68BEAD1E" w14:textId="77777777" w:rsidR="002C713B" w:rsidRPr="0057781B" w:rsidRDefault="002C713B" w:rsidP="002C713B">
      <w:pPr>
        <w:pStyle w:val="1"/>
        <w:shd w:val="clear" w:color="auto" w:fill="auto"/>
        <w:spacing w:after="0" w:line="240" w:lineRule="auto"/>
        <w:jc w:val="both"/>
        <w:rPr>
          <w:lang w:val="ru-RU"/>
        </w:rPr>
      </w:pPr>
    </w:p>
    <w:p w14:paraId="1B118488" w14:textId="77777777" w:rsidR="002C713B" w:rsidRPr="0057781B" w:rsidRDefault="002C713B" w:rsidP="002C713B">
      <w:pPr>
        <w:pStyle w:val="1"/>
        <w:shd w:val="clear" w:color="auto" w:fill="auto"/>
        <w:spacing w:after="0" w:line="240" w:lineRule="auto"/>
        <w:jc w:val="both"/>
        <w:rPr>
          <w:lang w:val="ru-RU"/>
        </w:rPr>
      </w:pPr>
    </w:p>
    <w:p w14:paraId="0C6AC03D" w14:textId="77777777" w:rsidR="002C713B" w:rsidRPr="0057781B" w:rsidRDefault="002C713B" w:rsidP="002C713B">
      <w:pPr>
        <w:pStyle w:val="1"/>
        <w:shd w:val="clear" w:color="auto" w:fill="auto"/>
        <w:spacing w:after="0" w:line="240" w:lineRule="auto"/>
        <w:jc w:val="both"/>
        <w:rPr>
          <w:lang w:val="ru-RU"/>
        </w:rPr>
      </w:pPr>
    </w:p>
    <w:p w14:paraId="0212FCEC" w14:textId="77777777" w:rsidR="002C713B" w:rsidRPr="0057781B" w:rsidRDefault="002C713B" w:rsidP="002C713B">
      <w:pPr>
        <w:pStyle w:val="1"/>
        <w:shd w:val="clear" w:color="auto" w:fill="auto"/>
        <w:spacing w:after="0" w:line="240" w:lineRule="auto"/>
        <w:jc w:val="both"/>
        <w:rPr>
          <w:lang w:val="ru-RU"/>
        </w:rPr>
      </w:pPr>
    </w:p>
    <w:p w14:paraId="469D76F2" w14:textId="77777777" w:rsidR="002C713B" w:rsidRPr="0057781B" w:rsidRDefault="002C713B" w:rsidP="002C713B">
      <w:pPr>
        <w:pStyle w:val="1"/>
        <w:shd w:val="clear" w:color="auto" w:fill="auto"/>
        <w:spacing w:after="0" w:line="240" w:lineRule="auto"/>
        <w:jc w:val="both"/>
        <w:rPr>
          <w:lang w:val="ru-RU"/>
        </w:rPr>
      </w:pPr>
    </w:p>
    <w:p w14:paraId="04ACAEA8" w14:textId="77777777" w:rsidR="002C713B" w:rsidRPr="0057781B" w:rsidRDefault="002C713B" w:rsidP="002C713B">
      <w:pPr>
        <w:pStyle w:val="1"/>
        <w:shd w:val="clear" w:color="auto" w:fill="auto"/>
        <w:spacing w:after="0" w:line="240" w:lineRule="auto"/>
        <w:jc w:val="both"/>
        <w:rPr>
          <w:lang w:val="ru-RU"/>
        </w:rPr>
      </w:pPr>
    </w:p>
    <w:p w14:paraId="10F0ED9E" w14:textId="77777777" w:rsidR="002C713B" w:rsidRPr="0057781B" w:rsidRDefault="002C713B" w:rsidP="002C713B">
      <w:pPr>
        <w:pStyle w:val="1"/>
        <w:shd w:val="clear" w:color="auto" w:fill="auto"/>
        <w:spacing w:after="0" w:line="240" w:lineRule="auto"/>
        <w:jc w:val="both"/>
        <w:rPr>
          <w:lang w:val="ru-RU"/>
        </w:rPr>
      </w:pPr>
    </w:p>
    <w:p w14:paraId="13FF96B4" w14:textId="77777777" w:rsidR="002C713B" w:rsidRPr="0057781B" w:rsidRDefault="002C713B" w:rsidP="002C713B">
      <w:pPr>
        <w:pStyle w:val="1"/>
        <w:shd w:val="clear" w:color="auto" w:fill="auto"/>
        <w:spacing w:after="0" w:line="240" w:lineRule="auto"/>
        <w:jc w:val="both"/>
        <w:rPr>
          <w:lang w:val="ru-RU"/>
        </w:rPr>
      </w:pPr>
    </w:p>
    <w:p w14:paraId="2EE2F1C8" w14:textId="77777777" w:rsidR="002C713B" w:rsidRPr="0057781B" w:rsidRDefault="002C713B" w:rsidP="002C713B">
      <w:pPr>
        <w:pStyle w:val="1"/>
        <w:shd w:val="clear" w:color="auto" w:fill="auto"/>
        <w:spacing w:after="0" w:line="240" w:lineRule="auto"/>
        <w:jc w:val="both"/>
        <w:rPr>
          <w:lang w:val="ru-RU"/>
        </w:rPr>
      </w:pPr>
    </w:p>
    <w:p w14:paraId="7FD3DE5B" w14:textId="77777777" w:rsidR="002C713B" w:rsidRPr="0057781B" w:rsidRDefault="002C713B" w:rsidP="002C713B">
      <w:pPr>
        <w:pStyle w:val="1"/>
        <w:shd w:val="clear" w:color="auto" w:fill="auto"/>
        <w:spacing w:after="0" w:line="240" w:lineRule="auto"/>
        <w:jc w:val="both"/>
        <w:rPr>
          <w:lang w:val="ru-RU"/>
        </w:rPr>
      </w:pPr>
    </w:p>
    <w:p w14:paraId="53CD8EB9" w14:textId="77777777" w:rsidR="002C713B" w:rsidRPr="0057781B" w:rsidRDefault="002C713B" w:rsidP="002C713B">
      <w:pPr>
        <w:pStyle w:val="1"/>
        <w:shd w:val="clear" w:color="auto" w:fill="auto"/>
        <w:spacing w:after="0" w:line="240" w:lineRule="auto"/>
        <w:jc w:val="both"/>
        <w:rPr>
          <w:lang w:val="ru-RU"/>
        </w:rPr>
      </w:pPr>
    </w:p>
    <w:p w14:paraId="7E5FC876" w14:textId="77777777" w:rsidR="002C713B" w:rsidRPr="0057781B" w:rsidRDefault="002C713B" w:rsidP="002C713B">
      <w:pPr>
        <w:pStyle w:val="1"/>
        <w:shd w:val="clear" w:color="auto" w:fill="auto"/>
        <w:spacing w:after="0" w:line="240" w:lineRule="auto"/>
        <w:jc w:val="both"/>
        <w:rPr>
          <w:lang w:val="ru-RU"/>
        </w:rPr>
      </w:pPr>
    </w:p>
    <w:p w14:paraId="282B4065" w14:textId="77777777" w:rsidR="002C713B" w:rsidRPr="0057781B" w:rsidRDefault="002C713B" w:rsidP="002C713B">
      <w:pPr>
        <w:pStyle w:val="1"/>
        <w:shd w:val="clear" w:color="auto" w:fill="auto"/>
        <w:spacing w:after="0" w:line="240" w:lineRule="auto"/>
        <w:jc w:val="both"/>
        <w:rPr>
          <w:lang w:val="ru-RU"/>
        </w:rPr>
      </w:pPr>
    </w:p>
    <w:p w14:paraId="520334EF" w14:textId="77777777" w:rsidR="002C713B" w:rsidRPr="0057781B" w:rsidRDefault="002C713B" w:rsidP="002C713B">
      <w:pPr>
        <w:pStyle w:val="1"/>
        <w:shd w:val="clear" w:color="auto" w:fill="auto"/>
        <w:spacing w:after="0" w:line="240" w:lineRule="auto"/>
        <w:jc w:val="both"/>
        <w:rPr>
          <w:lang w:val="ru-RU"/>
        </w:rPr>
      </w:pPr>
    </w:p>
    <w:p w14:paraId="43C9B7FD" w14:textId="77777777" w:rsidR="002C713B" w:rsidRPr="0057781B" w:rsidRDefault="002C713B" w:rsidP="002C713B">
      <w:pPr>
        <w:pStyle w:val="1"/>
        <w:shd w:val="clear" w:color="auto" w:fill="auto"/>
        <w:spacing w:after="0" w:line="240" w:lineRule="auto"/>
        <w:jc w:val="both"/>
        <w:rPr>
          <w:lang w:val="ru-RU"/>
        </w:rPr>
      </w:pPr>
    </w:p>
    <w:p w14:paraId="34DFB3B9" w14:textId="77777777" w:rsidR="002C713B" w:rsidRPr="0057781B" w:rsidRDefault="002C713B" w:rsidP="002C713B">
      <w:pPr>
        <w:pStyle w:val="1"/>
        <w:shd w:val="clear" w:color="auto" w:fill="auto"/>
        <w:spacing w:after="0" w:line="240" w:lineRule="auto"/>
        <w:jc w:val="both"/>
        <w:rPr>
          <w:lang w:val="ru-RU"/>
        </w:rPr>
      </w:pPr>
    </w:p>
    <w:p w14:paraId="3603F48F" w14:textId="77777777" w:rsidR="002C713B" w:rsidRPr="0057781B" w:rsidRDefault="002C713B" w:rsidP="002C713B">
      <w:pPr>
        <w:pStyle w:val="1"/>
        <w:shd w:val="clear" w:color="auto" w:fill="auto"/>
        <w:spacing w:after="0" w:line="240" w:lineRule="auto"/>
        <w:jc w:val="both"/>
        <w:rPr>
          <w:lang w:val="ru-RU"/>
        </w:rPr>
      </w:pPr>
    </w:p>
    <w:p w14:paraId="6BF4A6BC" w14:textId="77777777" w:rsidR="002C713B" w:rsidRPr="0057781B" w:rsidRDefault="002C713B" w:rsidP="002C713B">
      <w:pPr>
        <w:pStyle w:val="1"/>
        <w:shd w:val="clear" w:color="auto" w:fill="auto"/>
        <w:spacing w:after="0" w:line="240" w:lineRule="auto"/>
        <w:jc w:val="both"/>
        <w:rPr>
          <w:lang w:val="ru-RU"/>
        </w:rPr>
      </w:pPr>
    </w:p>
    <w:p w14:paraId="505E3C63" w14:textId="77777777" w:rsidR="002C713B" w:rsidRPr="0057781B" w:rsidRDefault="002C713B" w:rsidP="002C713B">
      <w:pPr>
        <w:pStyle w:val="1"/>
        <w:shd w:val="clear" w:color="auto" w:fill="auto"/>
        <w:spacing w:after="0" w:line="240" w:lineRule="auto"/>
        <w:jc w:val="both"/>
        <w:rPr>
          <w:lang w:val="ru-RU"/>
        </w:rPr>
      </w:pPr>
    </w:p>
    <w:p w14:paraId="717358BE" w14:textId="23AD7495" w:rsidR="00B33348" w:rsidRDefault="007C3B27" w:rsidP="002C713B">
      <w:pPr>
        <w:pStyle w:val="1"/>
        <w:shd w:val="clear" w:color="auto" w:fill="auto"/>
        <w:spacing w:after="0" w:line="240" w:lineRule="auto"/>
        <w:jc w:val="center"/>
        <w:sectPr w:rsidR="00B33348">
          <w:pgSz w:w="11900" w:h="16840"/>
          <w:pgMar w:top="5698" w:right="1203" w:bottom="1125" w:left="1529" w:header="5270" w:footer="697" w:gutter="0"/>
          <w:pgNumType w:start="1"/>
          <w:cols w:space="720"/>
          <w:noEndnote/>
          <w:docGrid w:linePitch="360"/>
        </w:sectPr>
      </w:pPr>
      <w:r>
        <w:rPr>
          <w:lang w:val="ru"/>
        </w:rPr>
        <w:t>Астана, 2023</w:t>
      </w:r>
    </w:p>
    <w:p w14:paraId="7120726C" w14:textId="2D11B569" w:rsidR="00B33348" w:rsidRPr="002C713B" w:rsidRDefault="007C3B27" w:rsidP="002C713B">
      <w:pPr>
        <w:pStyle w:val="1"/>
        <w:numPr>
          <w:ilvl w:val="0"/>
          <w:numId w:val="1"/>
        </w:numPr>
        <w:shd w:val="clear" w:color="auto" w:fill="auto"/>
        <w:tabs>
          <w:tab w:val="left" w:pos="427"/>
        </w:tabs>
        <w:spacing w:after="0" w:line="240" w:lineRule="auto"/>
        <w:jc w:val="both"/>
      </w:pPr>
      <w:r>
        <w:rPr>
          <w:b/>
          <w:bCs/>
          <w:lang w:val="ru"/>
        </w:rPr>
        <w:lastRenderedPageBreak/>
        <w:t>Общие положения и применение</w:t>
      </w:r>
    </w:p>
    <w:p w14:paraId="1B694D3F" w14:textId="77777777" w:rsidR="002C713B" w:rsidRDefault="002C713B" w:rsidP="002C713B">
      <w:pPr>
        <w:pStyle w:val="1"/>
        <w:shd w:val="clear" w:color="auto" w:fill="auto"/>
        <w:tabs>
          <w:tab w:val="left" w:pos="427"/>
        </w:tabs>
        <w:spacing w:after="0" w:line="240" w:lineRule="auto"/>
        <w:jc w:val="both"/>
      </w:pPr>
    </w:p>
    <w:p w14:paraId="04D28DC0" w14:textId="77777777" w:rsidR="00B33348" w:rsidRDefault="007C3B27" w:rsidP="002C713B">
      <w:pPr>
        <w:pStyle w:val="11"/>
        <w:keepNext/>
        <w:keepLines/>
        <w:shd w:val="clear" w:color="auto" w:fill="auto"/>
        <w:spacing w:after="0" w:line="240" w:lineRule="auto"/>
        <w:jc w:val="both"/>
        <w:outlineLvl w:val="9"/>
      </w:pPr>
      <w:bookmarkStart w:id="0" w:name="bookmark0"/>
      <w:bookmarkStart w:id="1" w:name="bookmark1"/>
      <w:r>
        <w:rPr>
          <w:lang w:val="ru"/>
        </w:rPr>
        <w:t>1. Введение</w:t>
      </w:r>
      <w:bookmarkEnd w:id="0"/>
      <w:bookmarkEnd w:id="1"/>
    </w:p>
    <w:p w14:paraId="1C94C39D" w14:textId="77777777" w:rsidR="00B33348" w:rsidRPr="0057781B" w:rsidRDefault="007C3B27" w:rsidP="002C713B">
      <w:pPr>
        <w:pStyle w:val="1"/>
        <w:shd w:val="clear" w:color="auto" w:fill="auto"/>
        <w:spacing w:after="0" w:line="240" w:lineRule="auto"/>
        <w:jc w:val="both"/>
        <w:rPr>
          <w:lang w:val="ru-RU"/>
        </w:rPr>
      </w:pPr>
      <w:r>
        <w:rPr>
          <w:lang w:val="ru"/>
        </w:rPr>
        <w:t>ТОО «Топ Лайн» (далее – «Компания») является лицом, зарегистрированным в качестве участника Международного финансового центра «Астана» (далее – «МФЦА») и осуществляющим следующие регулируемые и рыночные виды деятельности:</w:t>
      </w:r>
    </w:p>
    <w:p w14:paraId="12210EBE" w14:textId="77777777" w:rsidR="00B33348" w:rsidRPr="0057781B" w:rsidRDefault="007C3B27" w:rsidP="002C713B">
      <w:pPr>
        <w:pStyle w:val="1"/>
        <w:numPr>
          <w:ilvl w:val="0"/>
          <w:numId w:val="2"/>
        </w:numPr>
        <w:shd w:val="clear" w:color="auto" w:fill="auto"/>
        <w:tabs>
          <w:tab w:val="left" w:pos="731"/>
        </w:tabs>
        <w:spacing w:after="0" w:line="240" w:lineRule="auto"/>
        <w:jc w:val="both"/>
        <w:rPr>
          <w:lang w:val="ru-RU"/>
        </w:rPr>
      </w:pPr>
      <w:r>
        <w:rPr>
          <w:lang w:val="ru"/>
        </w:rPr>
        <w:t>Управление платформой для торговли цифровыми активами;</w:t>
      </w:r>
    </w:p>
    <w:p w14:paraId="193F450D" w14:textId="77777777" w:rsidR="00B33348" w:rsidRDefault="007C3B27" w:rsidP="002C713B">
      <w:pPr>
        <w:pStyle w:val="1"/>
        <w:numPr>
          <w:ilvl w:val="0"/>
          <w:numId w:val="2"/>
        </w:numPr>
        <w:shd w:val="clear" w:color="auto" w:fill="auto"/>
        <w:tabs>
          <w:tab w:val="left" w:pos="731"/>
        </w:tabs>
        <w:spacing w:after="0" w:line="240" w:lineRule="auto"/>
        <w:jc w:val="both"/>
      </w:pPr>
      <w:r>
        <w:rPr>
          <w:lang w:val="ru"/>
        </w:rPr>
        <w:t>Обеспечение ответственного хранения;</w:t>
      </w:r>
    </w:p>
    <w:p w14:paraId="2B48B5C7" w14:textId="77777777" w:rsidR="00624E14" w:rsidRDefault="00624E14" w:rsidP="002C713B">
      <w:pPr>
        <w:pStyle w:val="1"/>
        <w:shd w:val="clear" w:color="auto" w:fill="auto"/>
        <w:spacing w:after="0" w:line="240" w:lineRule="auto"/>
        <w:jc w:val="both"/>
      </w:pPr>
    </w:p>
    <w:p w14:paraId="1F7253A9" w14:textId="31C52408" w:rsidR="00B33348" w:rsidRPr="0057781B" w:rsidRDefault="007C3B27" w:rsidP="002C713B">
      <w:pPr>
        <w:pStyle w:val="1"/>
        <w:shd w:val="clear" w:color="auto" w:fill="auto"/>
        <w:spacing w:after="0" w:line="240" w:lineRule="auto"/>
        <w:jc w:val="both"/>
        <w:rPr>
          <w:lang w:val="ru-RU"/>
        </w:rPr>
      </w:pPr>
      <w:r>
        <w:rPr>
          <w:lang w:val="ru"/>
        </w:rPr>
        <w:t>Регулирующим органом, осуществляющим надзорные функции на территории МФЦА, является Комитет МФЦА по регулированию финансовых услуг (далее – «AFSA»). AFSA имеет полномочия санкционировать, контролировать и, при необходимости, осуществлять правоприменение в отношении участников МФЦА.</w:t>
      </w:r>
    </w:p>
    <w:p w14:paraId="73041EF2" w14:textId="77777777" w:rsidR="002C713B" w:rsidRPr="0057781B" w:rsidRDefault="002C713B" w:rsidP="002C713B">
      <w:pPr>
        <w:pStyle w:val="1"/>
        <w:shd w:val="clear" w:color="auto" w:fill="auto"/>
        <w:spacing w:after="0" w:line="240" w:lineRule="auto"/>
        <w:jc w:val="both"/>
        <w:rPr>
          <w:lang w:val="ru-RU"/>
        </w:rPr>
      </w:pPr>
    </w:p>
    <w:p w14:paraId="00002F00" w14:textId="77777777" w:rsidR="00B33348" w:rsidRDefault="007C3B27" w:rsidP="002C713B">
      <w:pPr>
        <w:pStyle w:val="11"/>
        <w:keepNext/>
        <w:keepLines/>
        <w:numPr>
          <w:ilvl w:val="0"/>
          <w:numId w:val="3"/>
        </w:numPr>
        <w:shd w:val="clear" w:color="auto" w:fill="auto"/>
        <w:tabs>
          <w:tab w:val="left" w:pos="427"/>
        </w:tabs>
        <w:spacing w:after="0" w:line="240" w:lineRule="auto"/>
        <w:jc w:val="both"/>
        <w:outlineLvl w:val="9"/>
      </w:pPr>
      <w:bookmarkStart w:id="2" w:name="bookmark2"/>
      <w:bookmarkStart w:id="3" w:name="bookmark3"/>
      <w:r>
        <w:rPr>
          <w:lang w:val="ru"/>
        </w:rPr>
        <w:t>Нормативно-правовая база</w:t>
      </w:r>
      <w:bookmarkEnd w:id="2"/>
      <w:bookmarkEnd w:id="3"/>
    </w:p>
    <w:p w14:paraId="2217B3BF" w14:textId="77777777" w:rsidR="00B33348" w:rsidRPr="0057781B" w:rsidRDefault="007C3B27" w:rsidP="002C713B">
      <w:pPr>
        <w:pStyle w:val="1"/>
        <w:shd w:val="clear" w:color="auto" w:fill="auto"/>
        <w:spacing w:after="0" w:line="240" w:lineRule="auto"/>
        <w:jc w:val="both"/>
        <w:rPr>
          <w:lang w:val="ru-RU"/>
        </w:rPr>
      </w:pPr>
      <w:r>
        <w:rPr>
          <w:lang w:val="ru"/>
        </w:rPr>
        <w:t>Законодательство, действующее на территории МФЦА, основано на Конституционном Уставе Республики Казахстан о Международном финансовом центре «Астана». НС 438-В ЗРК от 7 декабря 2015 года, а также о актах МФЦА и Органов МФЦА.</w:t>
      </w:r>
    </w:p>
    <w:p w14:paraId="02576854" w14:textId="71225234" w:rsidR="00B33348" w:rsidRPr="0057781B" w:rsidRDefault="007C3B27" w:rsidP="002C713B">
      <w:pPr>
        <w:pStyle w:val="1"/>
        <w:shd w:val="clear" w:color="auto" w:fill="auto"/>
        <w:spacing w:after="0" w:line="240" w:lineRule="auto"/>
        <w:jc w:val="both"/>
        <w:rPr>
          <w:lang w:val="ru-RU"/>
        </w:rPr>
      </w:pPr>
      <w:r>
        <w:rPr>
          <w:lang w:val="ru"/>
        </w:rPr>
        <w:t xml:space="preserve">Законодательство о финансовых услугах основано на Правилах и Положениях, установленных AFSA. Компания соблюдает Правила ведения бизнеса МФЦА Правила МФЦА No. FR0005 от 2017 года (далее – «Правила COB») и к Правилам финансовых технологий МФЦА No. AFSA-F-PC-2019-0001 от 2019 года (далее – «Правила FinTech») с целью соблюдения стандартов поведения, ожидаемых от </w:t>
      </w:r>
      <w:proofErr w:type="spellStart"/>
      <w:r>
        <w:rPr>
          <w:lang w:val="ru"/>
        </w:rPr>
        <w:t>финтех</w:t>
      </w:r>
      <w:proofErr w:type="spellEnd"/>
      <w:r>
        <w:rPr>
          <w:lang w:val="ru"/>
        </w:rPr>
        <w:t>-компаний, работающих в МФЦА.</w:t>
      </w:r>
    </w:p>
    <w:p w14:paraId="4CB894EE" w14:textId="77777777" w:rsidR="002C713B" w:rsidRPr="0057781B" w:rsidRDefault="002C713B" w:rsidP="002C713B">
      <w:pPr>
        <w:pStyle w:val="1"/>
        <w:shd w:val="clear" w:color="auto" w:fill="auto"/>
        <w:spacing w:after="0" w:line="240" w:lineRule="auto"/>
        <w:jc w:val="both"/>
        <w:rPr>
          <w:lang w:val="ru-RU"/>
        </w:rPr>
      </w:pPr>
    </w:p>
    <w:p w14:paraId="6E4A19C8" w14:textId="77777777" w:rsidR="00B33348" w:rsidRDefault="007C3B27" w:rsidP="002C713B">
      <w:pPr>
        <w:pStyle w:val="11"/>
        <w:keepNext/>
        <w:keepLines/>
        <w:numPr>
          <w:ilvl w:val="0"/>
          <w:numId w:val="3"/>
        </w:numPr>
        <w:shd w:val="clear" w:color="auto" w:fill="auto"/>
        <w:tabs>
          <w:tab w:val="left" w:pos="427"/>
        </w:tabs>
        <w:spacing w:after="0" w:line="240" w:lineRule="auto"/>
        <w:jc w:val="both"/>
        <w:outlineLvl w:val="9"/>
      </w:pPr>
      <w:bookmarkStart w:id="4" w:name="bookmark4"/>
      <w:bookmarkStart w:id="5" w:name="bookmark5"/>
      <w:r>
        <w:rPr>
          <w:lang w:val="ru"/>
        </w:rPr>
        <w:t>Цель отказа от ответственности</w:t>
      </w:r>
      <w:bookmarkEnd w:id="4"/>
      <w:bookmarkEnd w:id="5"/>
    </w:p>
    <w:p w14:paraId="2BCC0180" w14:textId="2ACA2A47" w:rsidR="00B33348" w:rsidRPr="0057781B" w:rsidRDefault="007C3B27" w:rsidP="002C713B">
      <w:pPr>
        <w:pStyle w:val="1"/>
        <w:shd w:val="clear" w:color="auto" w:fill="auto"/>
        <w:spacing w:after="0" w:line="240" w:lineRule="auto"/>
        <w:jc w:val="both"/>
        <w:rPr>
          <w:lang w:val="ru-RU"/>
        </w:rPr>
      </w:pPr>
      <w:r>
        <w:rPr>
          <w:lang w:val="ru"/>
        </w:rPr>
        <w:t>Выпуск, торговля, совершение сделок, инвестирование и удержание позиций в Цифровых активах сопряжены с особыми рисками для Клиента, включая технологические, операционные, рыночные и системные риски, а также правовые, регуляторные и налоговые риски, которые могут отличаться и/или применяться в дополнение к тем, которые существуют в отношении традиционных активов, включая любые традиционные финансовые инструменты или национальные и наднациональные валюты. В худшем случае</w:t>
      </w:r>
      <w:r w:rsidR="00624E14">
        <w:rPr>
          <w:lang w:val="ru"/>
        </w:rPr>
        <w:t xml:space="preserve"> реализация таких рисков может привести к полной потере инвестиций Клиента и потенциально дополнительным убыткам, превышающим первоначальные инвестиции, в зависимости от типа Цифрового актива и специфики инвестиционной деятельности и подверженности риску Клиента.</w:t>
      </w:r>
    </w:p>
    <w:p w14:paraId="28C4B9B7" w14:textId="77777777" w:rsidR="002C713B" w:rsidRPr="0057781B" w:rsidRDefault="002C713B" w:rsidP="002C713B">
      <w:pPr>
        <w:pStyle w:val="1"/>
        <w:shd w:val="clear" w:color="auto" w:fill="auto"/>
        <w:spacing w:after="0" w:line="240" w:lineRule="auto"/>
        <w:jc w:val="both"/>
        <w:rPr>
          <w:lang w:val="ru-RU"/>
        </w:rPr>
      </w:pPr>
    </w:p>
    <w:p w14:paraId="4C624F03" w14:textId="5DB4C9BF" w:rsidR="00B33348" w:rsidRPr="002C713B" w:rsidRDefault="007C3B27" w:rsidP="002C713B">
      <w:pPr>
        <w:pStyle w:val="1"/>
        <w:numPr>
          <w:ilvl w:val="0"/>
          <w:numId w:val="1"/>
        </w:numPr>
        <w:shd w:val="clear" w:color="auto" w:fill="auto"/>
        <w:tabs>
          <w:tab w:val="left" w:pos="427"/>
        </w:tabs>
        <w:spacing w:after="0" w:line="240" w:lineRule="auto"/>
        <w:jc w:val="both"/>
      </w:pPr>
      <w:r>
        <w:rPr>
          <w:b/>
          <w:bCs/>
          <w:lang w:val="ru"/>
        </w:rPr>
        <w:t>Цифровой актив</w:t>
      </w:r>
    </w:p>
    <w:p w14:paraId="7BAC79CD" w14:textId="77777777" w:rsidR="002C713B" w:rsidRDefault="002C713B" w:rsidP="002C713B">
      <w:pPr>
        <w:pStyle w:val="1"/>
        <w:shd w:val="clear" w:color="auto" w:fill="auto"/>
        <w:tabs>
          <w:tab w:val="left" w:pos="427"/>
        </w:tabs>
        <w:spacing w:after="0" w:line="240" w:lineRule="auto"/>
        <w:jc w:val="both"/>
      </w:pPr>
    </w:p>
    <w:p w14:paraId="727DF2D0" w14:textId="77777777" w:rsidR="00B33348" w:rsidRDefault="007C3B27" w:rsidP="002C713B">
      <w:pPr>
        <w:pStyle w:val="1"/>
        <w:numPr>
          <w:ilvl w:val="0"/>
          <w:numId w:val="6"/>
        </w:numPr>
        <w:shd w:val="clear" w:color="auto" w:fill="auto"/>
        <w:tabs>
          <w:tab w:val="left" w:pos="427"/>
        </w:tabs>
        <w:spacing w:after="0" w:line="240" w:lineRule="auto"/>
        <w:jc w:val="both"/>
      </w:pPr>
      <w:r>
        <w:rPr>
          <w:b/>
          <w:bCs/>
          <w:i/>
          <w:iCs/>
          <w:lang w:val="ru"/>
        </w:rPr>
        <w:t>Цифровые активы в целом</w:t>
      </w:r>
    </w:p>
    <w:p w14:paraId="64D915C3" w14:textId="77777777" w:rsidR="00B33348" w:rsidRPr="0057781B" w:rsidRDefault="00624E14" w:rsidP="002C713B">
      <w:pPr>
        <w:pStyle w:val="1"/>
        <w:shd w:val="clear" w:color="auto" w:fill="auto"/>
        <w:spacing w:after="0" w:line="240" w:lineRule="auto"/>
        <w:jc w:val="both"/>
        <w:rPr>
          <w:lang w:val="ru-RU"/>
        </w:rPr>
      </w:pPr>
      <w:r>
        <w:rPr>
          <w:lang w:val="ru"/>
        </w:rPr>
        <w:t xml:space="preserve">Цифровые активы — это развивающийся, неоднородный класс активов, характеризующийся использованием технологии распределенного реестра («DLT») или аналогичной технологии. В частности, цифровые активы — это дематериализованные активы, созданные и существующие в виде записей в публичном, разрешенном или частном блокчейне или другом цифровом распределенном реестре. Сами соответствующие распределенные реестры и любые данные, хранящиеся в них, включая, помимо прочего, Цифровые активы как таковые или любые ссылки на них, если иное прямо не указано в соответствующей документации, не управляются и не контролируются Компанией и, </w:t>
      </w:r>
      <w:r>
        <w:rPr>
          <w:lang w:val="ru"/>
        </w:rPr>
        <w:lastRenderedPageBreak/>
        <w:t>следовательно, находятся вне сферы влияния Компании.</w:t>
      </w:r>
    </w:p>
    <w:p w14:paraId="7724D1F2" w14:textId="77777777" w:rsidR="00B33348" w:rsidRPr="0057781B" w:rsidRDefault="007C3B27" w:rsidP="002C713B">
      <w:pPr>
        <w:pStyle w:val="1"/>
        <w:shd w:val="clear" w:color="auto" w:fill="auto"/>
        <w:spacing w:after="0" w:line="240" w:lineRule="auto"/>
        <w:jc w:val="both"/>
        <w:rPr>
          <w:lang w:val="ru-RU"/>
        </w:rPr>
      </w:pPr>
      <w:r>
        <w:rPr>
          <w:lang w:val="ru"/>
        </w:rPr>
        <w:t>В частности, Цифровые активы могут представлять собой собственные единицы стоимости, которые не включают и не представляют собой какие-либо претензии к эмитенту или другой третьей стороне. В тех случаях, когда такие единицы предназначены или используются в платежных целях и не квалифицируются как ценные бумаги или другие финансовые инструменты и не представляют их, они иногда называются платежными токенами или (чистыми) криптовалютами («Криптовалюты»).</w:t>
      </w:r>
    </w:p>
    <w:p w14:paraId="5A9737A2" w14:textId="77777777" w:rsidR="00B33348" w:rsidRPr="0057781B" w:rsidRDefault="007C3B27" w:rsidP="002C713B">
      <w:pPr>
        <w:pStyle w:val="1"/>
        <w:shd w:val="clear" w:color="auto" w:fill="auto"/>
        <w:spacing w:after="0" w:line="240" w:lineRule="auto"/>
        <w:jc w:val="both"/>
        <w:rPr>
          <w:lang w:val="ru-RU"/>
        </w:rPr>
      </w:pPr>
      <w:r>
        <w:rPr>
          <w:lang w:val="ru"/>
        </w:rPr>
        <w:t>Другие типы цифровых активов могут (i) представлять или представлять собой любую форму традиционных, нетрадиционных  или экзотических финансовых инструментов, включая акции, облигации, паи фондов, структурированные продукты или деривативы (иногда называемые токенами-активами), (ii) предоставлять право использования цифрового сервиса, платформы или инфраструктуры (иногда называемых служебными токенами, или (iii) представлять собой гибридную форму любого из вышеупомянутых типов цифровых активов,  включая криптовалюты (иногда называемые гибридными токенами). В зависимости от их конкретной структуры и в зависимости от правил различных юрисдикций, Цифровые активы могут, независимо от терминологии, используемой эмитентом или другими вовлеченными сторонами, квалифицироваться как ценные бумаги (в таком случае иногда называемые security-токенами) или другими формами финансовых инструментов с соответствующими правовыми и нормативными последствиями, в частности, если они подходят для инвестиционных целей.</w:t>
      </w:r>
    </w:p>
    <w:p w14:paraId="763E3277" w14:textId="54A54AEB" w:rsidR="00B33348" w:rsidRPr="0057781B" w:rsidRDefault="007C3B27" w:rsidP="002C713B">
      <w:pPr>
        <w:pStyle w:val="1"/>
        <w:shd w:val="clear" w:color="auto" w:fill="auto"/>
        <w:spacing w:after="0" w:line="240" w:lineRule="auto"/>
        <w:jc w:val="both"/>
        <w:rPr>
          <w:lang w:val="ru-RU"/>
        </w:rPr>
      </w:pPr>
      <w:r>
        <w:rPr>
          <w:lang w:val="ru"/>
        </w:rPr>
        <w:t>Несмотря на то, что цифровые активы основаны на DLT, они могут быть подвержены эффектам централизации, например, из-за концентрации  права собственности на выпущенные/предварительно добытые единицы у эмитента, другой стороны или небольшого числа связанных или несвязанных сторон, или из-за концентрации сетевых функций, таких как работа узла или проверка транзакций, с одной стороной или небольшим количеством связанных или несвязанных сторон. Это может привести к тому, что Цифровые активы будут иметь характеристики централизованно выпущенных инструментов и/или могут привести к потенциально неблагоприятным последствиям для сторон, не участвующих или оказывающих какое-либо влияние на концентрацию собственности или сетевых функций.</w:t>
      </w:r>
    </w:p>
    <w:p w14:paraId="6437EBF1" w14:textId="77777777" w:rsidR="002C713B" w:rsidRPr="0057781B" w:rsidRDefault="002C713B" w:rsidP="002C713B">
      <w:pPr>
        <w:pStyle w:val="1"/>
        <w:shd w:val="clear" w:color="auto" w:fill="auto"/>
        <w:spacing w:after="0" w:line="240" w:lineRule="auto"/>
        <w:jc w:val="both"/>
        <w:rPr>
          <w:lang w:val="ru-RU"/>
        </w:rPr>
      </w:pPr>
    </w:p>
    <w:p w14:paraId="4B22FFA8" w14:textId="50635CD5" w:rsidR="00B33348" w:rsidRPr="002C713B" w:rsidRDefault="007C3B27" w:rsidP="002C713B">
      <w:pPr>
        <w:pStyle w:val="1"/>
        <w:numPr>
          <w:ilvl w:val="0"/>
          <w:numId w:val="6"/>
        </w:numPr>
        <w:shd w:val="clear" w:color="auto" w:fill="auto"/>
        <w:tabs>
          <w:tab w:val="left" w:pos="580"/>
        </w:tabs>
        <w:spacing w:after="0" w:line="240" w:lineRule="auto"/>
        <w:jc w:val="both"/>
      </w:pPr>
      <w:r>
        <w:rPr>
          <w:b/>
          <w:bCs/>
          <w:i/>
          <w:iCs/>
          <w:lang w:val="ru"/>
        </w:rPr>
        <w:t>Глоссарий цифровых активов</w:t>
      </w:r>
    </w:p>
    <w:p w14:paraId="0EED40E2" w14:textId="77777777" w:rsidR="002C713B" w:rsidRDefault="002C713B" w:rsidP="002C713B">
      <w:pPr>
        <w:pStyle w:val="1"/>
        <w:shd w:val="clear" w:color="auto" w:fill="auto"/>
        <w:tabs>
          <w:tab w:val="left" w:pos="580"/>
        </w:tabs>
        <w:spacing w:after="0" w:line="240" w:lineRule="auto"/>
        <w:jc w:val="both"/>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6533"/>
      </w:tblGrid>
      <w:tr w:rsidR="00B33348" w14:paraId="4859B528" w14:textId="77777777">
        <w:trPr>
          <w:trHeight w:hRule="exact" w:val="490"/>
          <w:jc w:val="center"/>
        </w:trPr>
        <w:tc>
          <w:tcPr>
            <w:tcW w:w="2837" w:type="dxa"/>
            <w:tcBorders>
              <w:top w:val="single" w:sz="4" w:space="0" w:color="auto"/>
              <w:left w:val="single" w:sz="4" w:space="0" w:color="auto"/>
            </w:tcBorders>
            <w:shd w:val="clear" w:color="auto" w:fill="FFFFFF"/>
          </w:tcPr>
          <w:p w14:paraId="18B6B6C3" w14:textId="77777777" w:rsidR="00B33348" w:rsidRDefault="007C3B27" w:rsidP="002C713B">
            <w:pPr>
              <w:pStyle w:val="a5"/>
              <w:shd w:val="clear" w:color="auto" w:fill="auto"/>
              <w:spacing w:after="0" w:line="240" w:lineRule="auto"/>
              <w:jc w:val="both"/>
            </w:pPr>
            <w:r>
              <w:rPr>
                <w:i/>
                <w:iCs/>
                <w:lang w:val="ru"/>
              </w:rPr>
              <w:t>Технический термин</w:t>
            </w:r>
          </w:p>
        </w:tc>
        <w:tc>
          <w:tcPr>
            <w:tcW w:w="6533" w:type="dxa"/>
            <w:tcBorders>
              <w:top w:val="single" w:sz="4" w:space="0" w:color="auto"/>
              <w:left w:val="single" w:sz="4" w:space="0" w:color="auto"/>
              <w:right w:val="single" w:sz="4" w:space="0" w:color="auto"/>
            </w:tcBorders>
            <w:shd w:val="clear" w:color="auto" w:fill="FFFFFF"/>
          </w:tcPr>
          <w:p w14:paraId="348E0B71" w14:textId="77777777" w:rsidR="00B33348" w:rsidRDefault="007C3B27" w:rsidP="002C713B">
            <w:pPr>
              <w:pStyle w:val="a5"/>
              <w:shd w:val="clear" w:color="auto" w:fill="auto"/>
              <w:spacing w:after="0" w:line="240" w:lineRule="auto"/>
              <w:jc w:val="both"/>
            </w:pPr>
            <w:r>
              <w:rPr>
                <w:i/>
                <w:iCs/>
                <w:lang w:val="ru"/>
              </w:rPr>
              <w:t>Значение и описание</w:t>
            </w:r>
          </w:p>
        </w:tc>
      </w:tr>
      <w:tr w:rsidR="00B33348" w:rsidRPr="0057781B" w14:paraId="1C7DF05D" w14:textId="77777777">
        <w:trPr>
          <w:trHeight w:hRule="exact" w:val="1378"/>
          <w:jc w:val="center"/>
        </w:trPr>
        <w:tc>
          <w:tcPr>
            <w:tcW w:w="2837" w:type="dxa"/>
            <w:tcBorders>
              <w:top w:val="single" w:sz="4" w:space="0" w:color="auto"/>
              <w:left w:val="single" w:sz="4" w:space="0" w:color="auto"/>
              <w:bottom w:val="single" w:sz="4" w:space="0" w:color="auto"/>
            </w:tcBorders>
            <w:shd w:val="clear" w:color="auto" w:fill="FFFFFF"/>
          </w:tcPr>
          <w:p w14:paraId="3487A7D5" w14:textId="77777777" w:rsidR="00B33348" w:rsidRDefault="00624E14" w:rsidP="002C713B">
            <w:pPr>
              <w:pStyle w:val="a5"/>
              <w:shd w:val="clear" w:color="auto" w:fill="auto"/>
              <w:spacing w:after="0" w:line="240" w:lineRule="auto"/>
              <w:jc w:val="both"/>
            </w:pPr>
            <w:r>
              <w:rPr>
                <w:lang w:val="ru"/>
              </w:rPr>
              <w:t>Аирдроп/Захват воздуха</w:t>
            </w:r>
          </w:p>
        </w:tc>
        <w:tc>
          <w:tcPr>
            <w:tcW w:w="6533" w:type="dxa"/>
            <w:tcBorders>
              <w:top w:val="single" w:sz="4" w:space="0" w:color="auto"/>
              <w:bottom w:val="single" w:sz="4" w:space="0" w:color="auto"/>
              <w:right w:val="single" w:sz="4" w:space="0" w:color="auto"/>
            </w:tcBorders>
            <w:shd w:val="clear" w:color="auto" w:fill="FFFFFF"/>
          </w:tcPr>
          <w:p w14:paraId="533E6A39" w14:textId="77777777" w:rsidR="00B33348" w:rsidRPr="0057781B" w:rsidRDefault="007C3B27" w:rsidP="002C713B">
            <w:pPr>
              <w:pStyle w:val="a5"/>
              <w:shd w:val="clear" w:color="auto" w:fill="auto"/>
              <w:spacing w:after="0" w:line="240" w:lineRule="auto"/>
              <w:jc w:val="both"/>
              <w:rPr>
                <w:lang w:val="ru-RU"/>
              </w:rPr>
            </w:pPr>
            <w:r>
              <w:rPr>
                <w:lang w:val="ru"/>
              </w:rPr>
              <w:t xml:space="preserve"> Распределение криптовалюты или других единиц цифровых активов по определенному кругу адресов цифрового реестра, обычно без какой-либо компенсации или другой формы вознаграждения, причитающегося единице.</w:t>
            </w:r>
          </w:p>
        </w:tc>
      </w:tr>
    </w:tbl>
    <w:p w14:paraId="267AE997" w14:textId="77777777" w:rsidR="00B33348" w:rsidRPr="0057781B" w:rsidRDefault="007C3B27" w:rsidP="002C713B">
      <w:pPr>
        <w:jc w:val="both"/>
        <w:rPr>
          <w:lang w:val="ru-RU"/>
        </w:rPr>
      </w:pPr>
      <w:r w:rsidRPr="0057781B">
        <w:rPr>
          <w:lang w:val="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6533"/>
      </w:tblGrid>
      <w:tr w:rsidR="00B33348" w:rsidRPr="0057781B" w14:paraId="26AE1056" w14:textId="77777777">
        <w:trPr>
          <w:trHeight w:hRule="exact" w:val="643"/>
          <w:jc w:val="center"/>
        </w:trPr>
        <w:tc>
          <w:tcPr>
            <w:tcW w:w="2837" w:type="dxa"/>
            <w:tcBorders>
              <w:top w:val="single" w:sz="4" w:space="0" w:color="auto"/>
              <w:left w:val="single" w:sz="4" w:space="0" w:color="auto"/>
            </w:tcBorders>
            <w:shd w:val="clear" w:color="auto" w:fill="FFFFFF"/>
          </w:tcPr>
          <w:p w14:paraId="54601C79" w14:textId="77777777" w:rsidR="00B33348" w:rsidRPr="0057781B" w:rsidRDefault="00B33348" w:rsidP="002C713B">
            <w:pPr>
              <w:jc w:val="both"/>
              <w:rPr>
                <w:sz w:val="10"/>
                <w:szCs w:val="10"/>
                <w:lang w:val="ru-RU"/>
              </w:rPr>
            </w:pPr>
          </w:p>
        </w:tc>
        <w:tc>
          <w:tcPr>
            <w:tcW w:w="6533" w:type="dxa"/>
            <w:tcBorders>
              <w:top w:val="single" w:sz="4" w:space="0" w:color="auto"/>
              <w:right w:val="single" w:sz="4" w:space="0" w:color="auto"/>
            </w:tcBorders>
            <w:shd w:val="clear" w:color="auto" w:fill="FFFFFF"/>
          </w:tcPr>
          <w:p w14:paraId="063126E7" w14:textId="77777777" w:rsidR="00B33348" w:rsidRPr="0057781B" w:rsidRDefault="007C3B27" w:rsidP="002C713B">
            <w:pPr>
              <w:pStyle w:val="a5"/>
              <w:shd w:val="clear" w:color="auto" w:fill="auto"/>
              <w:spacing w:after="0" w:line="240" w:lineRule="auto"/>
              <w:jc w:val="both"/>
              <w:rPr>
                <w:lang w:val="ru-RU"/>
              </w:rPr>
            </w:pPr>
            <w:r>
              <w:rPr>
                <w:lang w:val="ru"/>
              </w:rPr>
              <w:t>получателей, часто для продвижения по службе или в аналогичных целях.</w:t>
            </w:r>
          </w:p>
        </w:tc>
      </w:tr>
      <w:tr w:rsidR="00B33348" w:rsidRPr="0057781B" w14:paraId="256EC7D2" w14:textId="77777777">
        <w:trPr>
          <w:trHeight w:hRule="exact" w:val="1656"/>
          <w:jc w:val="center"/>
        </w:trPr>
        <w:tc>
          <w:tcPr>
            <w:tcW w:w="2837" w:type="dxa"/>
            <w:tcBorders>
              <w:top w:val="single" w:sz="4" w:space="0" w:color="auto"/>
              <w:left w:val="single" w:sz="4" w:space="0" w:color="auto"/>
            </w:tcBorders>
            <w:shd w:val="clear" w:color="auto" w:fill="FFFFFF"/>
          </w:tcPr>
          <w:p w14:paraId="7EB5715B" w14:textId="77777777" w:rsidR="00B33348" w:rsidRDefault="007C3B27" w:rsidP="002C713B">
            <w:pPr>
              <w:pStyle w:val="a5"/>
              <w:shd w:val="clear" w:color="auto" w:fill="auto"/>
              <w:spacing w:after="0" w:line="240" w:lineRule="auto"/>
              <w:jc w:val="both"/>
            </w:pPr>
            <w:r>
              <w:rPr>
                <w:lang w:val="ru"/>
              </w:rPr>
              <w:t>Распределенный реестр</w:t>
            </w:r>
          </w:p>
        </w:tc>
        <w:tc>
          <w:tcPr>
            <w:tcW w:w="6533" w:type="dxa"/>
            <w:tcBorders>
              <w:top w:val="single" w:sz="4" w:space="0" w:color="auto"/>
              <w:left w:val="single" w:sz="4" w:space="0" w:color="auto"/>
              <w:right w:val="single" w:sz="4" w:space="0" w:color="auto"/>
            </w:tcBorders>
            <w:shd w:val="clear" w:color="auto" w:fill="FFFFFF"/>
          </w:tcPr>
          <w:p w14:paraId="11CAA028" w14:textId="77777777" w:rsidR="00B33348" w:rsidRPr="0057781B" w:rsidRDefault="007C3B27" w:rsidP="002C713B">
            <w:pPr>
              <w:pStyle w:val="a5"/>
              <w:shd w:val="clear" w:color="auto" w:fill="auto"/>
              <w:spacing w:after="0" w:line="240" w:lineRule="auto"/>
              <w:jc w:val="both"/>
              <w:rPr>
                <w:lang w:val="ru-RU"/>
              </w:rPr>
            </w:pPr>
            <w:r>
              <w:rPr>
                <w:lang w:val="ru"/>
              </w:rPr>
              <w:t>Технология распределенного реестра, относящаяся к технологии, позволяющей реализовать базы данных, распределенные на различных узлах или компьютерных устройствах в сети, каждое из которых может индивидуально участвовать в сети, реплицируя и сохраняя копию реестра или его частей.</w:t>
            </w:r>
          </w:p>
        </w:tc>
      </w:tr>
      <w:tr w:rsidR="00B33348" w:rsidRPr="0057781B" w14:paraId="14844A11" w14:textId="77777777">
        <w:trPr>
          <w:trHeight w:hRule="exact" w:val="466"/>
          <w:jc w:val="center"/>
        </w:trPr>
        <w:tc>
          <w:tcPr>
            <w:tcW w:w="2837" w:type="dxa"/>
            <w:tcBorders>
              <w:top w:val="single" w:sz="4" w:space="0" w:color="auto"/>
              <w:left w:val="single" w:sz="4" w:space="0" w:color="auto"/>
            </w:tcBorders>
            <w:shd w:val="clear" w:color="auto" w:fill="FFFFFF"/>
          </w:tcPr>
          <w:p w14:paraId="25F479FD" w14:textId="77777777" w:rsidR="00B33348" w:rsidRDefault="007C3B27" w:rsidP="002C713B">
            <w:pPr>
              <w:pStyle w:val="a5"/>
              <w:shd w:val="clear" w:color="auto" w:fill="auto"/>
              <w:spacing w:after="0" w:line="240" w:lineRule="auto"/>
              <w:jc w:val="both"/>
            </w:pPr>
            <w:r>
              <w:rPr>
                <w:lang w:val="ru"/>
              </w:rPr>
              <w:t>Узел</w:t>
            </w:r>
          </w:p>
        </w:tc>
        <w:tc>
          <w:tcPr>
            <w:tcW w:w="6533" w:type="dxa"/>
            <w:tcBorders>
              <w:top w:val="single" w:sz="4" w:space="0" w:color="auto"/>
              <w:right w:val="single" w:sz="4" w:space="0" w:color="auto"/>
            </w:tcBorders>
            <w:shd w:val="clear" w:color="auto" w:fill="FFFFFF"/>
          </w:tcPr>
          <w:p w14:paraId="2EF8A951" w14:textId="77777777" w:rsidR="00B33348" w:rsidRPr="0057781B" w:rsidRDefault="007C3B27" w:rsidP="002C713B">
            <w:pPr>
              <w:pStyle w:val="a5"/>
              <w:shd w:val="clear" w:color="auto" w:fill="auto"/>
              <w:spacing w:after="0" w:line="240" w:lineRule="auto"/>
              <w:jc w:val="both"/>
              <w:rPr>
                <w:lang w:val="ru-RU"/>
              </w:rPr>
            </w:pPr>
            <w:r>
              <w:rPr>
                <w:lang w:val="ru"/>
              </w:rPr>
              <w:t>Компьютер, участвующий в DLT-сети.</w:t>
            </w:r>
          </w:p>
        </w:tc>
      </w:tr>
      <w:tr w:rsidR="00B33348" w:rsidRPr="0057781B" w14:paraId="11822808" w14:textId="77777777">
        <w:trPr>
          <w:trHeight w:hRule="exact" w:val="2712"/>
          <w:jc w:val="center"/>
        </w:trPr>
        <w:tc>
          <w:tcPr>
            <w:tcW w:w="2837" w:type="dxa"/>
            <w:tcBorders>
              <w:top w:val="single" w:sz="4" w:space="0" w:color="auto"/>
              <w:left w:val="single" w:sz="4" w:space="0" w:color="auto"/>
            </w:tcBorders>
            <w:shd w:val="clear" w:color="auto" w:fill="FFFFFF"/>
          </w:tcPr>
          <w:p w14:paraId="321A2626" w14:textId="77777777" w:rsidR="00B33348" w:rsidRDefault="007C3B27" w:rsidP="002C713B">
            <w:pPr>
              <w:pStyle w:val="a5"/>
              <w:shd w:val="clear" w:color="auto" w:fill="auto"/>
              <w:spacing w:after="0" w:line="240" w:lineRule="auto"/>
              <w:jc w:val="both"/>
            </w:pPr>
            <w:proofErr w:type="spellStart"/>
            <w:r>
              <w:rPr>
                <w:lang w:val="ru"/>
              </w:rPr>
              <w:t>Майнер</w:t>
            </w:r>
            <w:proofErr w:type="spellEnd"/>
            <w:r>
              <w:rPr>
                <w:lang w:val="ru"/>
              </w:rPr>
              <w:t>/</w:t>
            </w:r>
            <w:proofErr w:type="spellStart"/>
            <w:r>
              <w:rPr>
                <w:lang w:val="ru"/>
              </w:rPr>
              <w:t>Минтер</w:t>
            </w:r>
            <w:proofErr w:type="spellEnd"/>
          </w:p>
        </w:tc>
        <w:tc>
          <w:tcPr>
            <w:tcW w:w="6533" w:type="dxa"/>
            <w:tcBorders>
              <w:top w:val="single" w:sz="4" w:space="0" w:color="auto"/>
              <w:left w:val="single" w:sz="4" w:space="0" w:color="auto"/>
              <w:right w:val="single" w:sz="4" w:space="0" w:color="auto"/>
            </w:tcBorders>
            <w:shd w:val="clear" w:color="auto" w:fill="FFFFFF"/>
          </w:tcPr>
          <w:p w14:paraId="30364D95" w14:textId="77777777" w:rsidR="00B33348" w:rsidRPr="0057781B" w:rsidRDefault="007C3B27" w:rsidP="002C713B">
            <w:pPr>
              <w:pStyle w:val="a5"/>
              <w:shd w:val="clear" w:color="auto" w:fill="auto"/>
              <w:spacing w:after="0" w:line="240" w:lineRule="auto"/>
              <w:jc w:val="both"/>
              <w:rPr>
                <w:lang w:val="ru-RU"/>
              </w:rPr>
            </w:pPr>
            <w:r>
              <w:rPr>
                <w:lang w:val="ru"/>
              </w:rPr>
              <w:t>Относится к устройству или лицу, которое управляет устройством, выполняя действие по созданию допустимых блоков.</w:t>
            </w:r>
          </w:p>
          <w:p w14:paraId="2E4B1570" w14:textId="77777777" w:rsidR="00B33348" w:rsidRPr="0057781B" w:rsidRDefault="007C3B27" w:rsidP="002C713B">
            <w:pPr>
              <w:pStyle w:val="a5"/>
              <w:shd w:val="clear" w:color="auto" w:fill="auto"/>
              <w:spacing w:after="0" w:line="240" w:lineRule="auto"/>
              <w:jc w:val="both"/>
              <w:rPr>
                <w:lang w:val="ru-RU"/>
              </w:rPr>
            </w:pPr>
            <w:r>
              <w:rPr>
                <w:lang w:val="ru"/>
              </w:rPr>
              <w:t>Некоторые протоколы требуют демонстрации доказательства работы (выполняемого «майнерами»), в то время как другие механизмы консенсуса требуют стейкинга активов (выполняемого «минтерами»). Помимо майнеров и минтеров, существуют и другие механизмы консенсуса, которые требуют других устройств или людей, таких как, например, «валидаторы» в византийских отказоустойчивых механизмах.</w:t>
            </w:r>
          </w:p>
        </w:tc>
      </w:tr>
      <w:tr w:rsidR="00B33348" w:rsidRPr="0057781B" w14:paraId="34580AD3" w14:textId="77777777">
        <w:trPr>
          <w:trHeight w:hRule="exact" w:val="1070"/>
          <w:jc w:val="center"/>
        </w:trPr>
        <w:tc>
          <w:tcPr>
            <w:tcW w:w="2837" w:type="dxa"/>
            <w:tcBorders>
              <w:top w:val="single" w:sz="4" w:space="0" w:color="auto"/>
              <w:left w:val="single" w:sz="4" w:space="0" w:color="auto"/>
            </w:tcBorders>
            <w:shd w:val="clear" w:color="auto" w:fill="FFFFFF"/>
          </w:tcPr>
          <w:p w14:paraId="4946732D" w14:textId="77777777" w:rsidR="00B33348" w:rsidRDefault="007C3B27" w:rsidP="002C713B">
            <w:pPr>
              <w:pStyle w:val="a5"/>
              <w:shd w:val="clear" w:color="auto" w:fill="auto"/>
              <w:spacing w:after="0" w:line="240" w:lineRule="auto"/>
              <w:jc w:val="both"/>
            </w:pPr>
            <w:proofErr w:type="spellStart"/>
            <w:r>
              <w:rPr>
                <w:lang w:val="ru"/>
              </w:rPr>
              <w:t>Блокчейн</w:t>
            </w:r>
            <w:proofErr w:type="spellEnd"/>
          </w:p>
        </w:tc>
        <w:tc>
          <w:tcPr>
            <w:tcW w:w="6533" w:type="dxa"/>
            <w:tcBorders>
              <w:top w:val="single" w:sz="4" w:space="0" w:color="auto"/>
              <w:right w:val="single" w:sz="4" w:space="0" w:color="auto"/>
            </w:tcBorders>
            <w:shd w:val="clear" w:color="auto" w:fill="FFFFFF"/>
          </w:tcPr>
          <w:p w14:paraId="2EBD6EFF" w14:textId="77777777" w:rsidR="00B33348" w:rsidRPr="0057781B" w:rsidRDefault="007C3B27" w:rsidP="002C713B">
            <w:pPr>
              <w:pStyle w:val="a5"/>
              <w:shd w:val="clear" w:color="auto" w:fill="auto"/>
              <w:spacing w:after="0" w:line="240" w:lineRule="auto"/>
              <w:jc w:val="both"/>
              <w:rPr>
                <w:lang w:val="ru-RU"/>
              </w:rPr>
            </w:pPr>
            <w:r>
              <w:rPr>
                <w:lang w:val="ru"/>
              </w:rPr>
              <w:t>Особая форма базы данных, основанная на DLT, которая использует цепочку блоков для достижения консенсуса в распределенном реестре (DL).</w:t>
            </w:r>
          </w:p>
        </w:tc>
      </w:tr>
      <w:tr w:rsidR="00B33348" w:rsidRPr="0057781B" w14:paraId="6ECCD7BE" w14:textId="77777777">
        <w:trPr>
          <w:trHeight w:hRule="exact" w:val="1061"/>
          <w:jc w:val="center"/>
        </w:trPr>
        <w:tc>
          <w:tcPr>
            <w:tcW w:w="2837" w:type="dxa"/>
            <w:tcBorders>
              <w:top w:val="single" w:sz="4" w:space="0" w:color="auto"/>
              <w:left w:val="single" w:sz="4" w:space="0" w:color="auto"/>
            </w:tcBorders>
            <w:shd w:val="clear" w:color="auto" w:fill="FFFFFF"/>
          </w:tcPr>
          <w:p w14:paraId="30A4007E" w14:textId="77777777" w:rsidR="00B33348" w:rsidRDefault="007C3B27" w:rsidP="002C713B">
            <w:pPr>
              <w:pStyle w:val="a5"/>
              <w:shd w:val="clear" w:color="auto" w:fill="auto"/>
              <w:spacing w:after="0" w:line="240" w:lineRule="auto"/>
              <w:jc w:val="both"/>
            </w:pPr>
            <w:r>
              <w:rPr>
                <w:lang w:val="ru"/>
              </w:rPr>
              <w:t>Консенсус</w:t>
            </w:r>
          </w:p>
        </w:tc>
        <w:tc>
          <w:tcPr>
            <w:tcW w:w="6533" w:type="dxa"/>
            <w:tcBorders>
              <w:top w:val="single" w:sz="4" w:space="0" w:color="auto"/>
              <w:left w:val="single" w:sz="4" w:space="0" w:color="auto"/>
              <w:right w:val="single" w:sz="4" w:space="0" w:color="auto"/>
            </w:tcBorders>
            <w:shd w:val="clear" w:color="auto" w:fill="FFFFFF"/>
          </w:tcPr>
          <w:p w14:paraId="1EB3B253" w14:textId="77777777" w:rsidR="00B33348" w:rsidRPr="0057781B" w:rsidRDefault="007C3B27" w:rsidP="002C713B">
            <w:pPr>
              <w:pStyle w:val="a5"/>
              <w:shd w:val="clear" w:color="auto" w:fill="auto"/>
              <w:spacing w:after="0" w:line="240" w:lineRule="auto"/>
              <w:jc w:val="both"/>
              <w:rPr>
                <w:lang w:val="ru-RU"/>
              </w:rPr>
            </w:pPr>
            <w:r>
              <w:rPr>
                <w:lang w:val="ru"/>
              </w:rPr>
              <w:t>В контексте DLT консенсус относится к процессу (алгоритму или механизму), используемому для приведения распределенной базы данных в синхронизированное состояние в определенное время или блок.</w:t>
            </w:r>
          </w:p>
        </w:tc>
      </w:tr>
      <w:tr w:rsidR="00B33348" w:rsidRPr="0057781B" w14:paraId="45C732FD" w14:textId="77777777">
        <w:trPr>
          <w:trHeight w:hRule="exact" w:val="1061"/>
          <w:jc w:val="center"/>
        </w:trPr>
        <w:tc>
          <w:tcPr>
            <w:tcW w:w="2837" w:type="dxa"/>
            <w:tcBorders>
              <w:top w:val="single" w:sz="4" w:space="0" w:color="auto"/>
              <w:left w:val="single" w:sz="4" w:space="0" w:color="auto"/>
            </w:tcBorders>
            <w:shd w:val="clear" w:color="auto" w:fill="FFFFFF"/>
          </w:tcPr>
          <w:p w14:paraId="437D79B4" w14:textId="77777777" w:rsidR="00B33348" w:rsidRDefault="007C3B27" w:rsidP="002C713B">
            <w:pPr>
              <w:pStyle w:val="a5"/>
              <w:shd w:val="clear" w:color="auto" w:fill="auto"/>
              <w:spacing w:after="0" w:line="240" w:lineRule="auto"/>
              <w:jc w:val="both"/>
            </w:pPr>
            <w:proofErr w:type="spellStart"/>
            <w:r>
              <w:rPr>
                <w:lang w:val="ru"/>
              </w:rPr>
              <w:t>Хардфорк</w:t>
            </w:r>
            <w:proofErr w:type="spellEnd"/>
          </w:p>
        </w:tc>
        <w:tc>
          <w:tcPr>
            <w:tcW w:w="6533" w:type="dxa"/>
            <w:tcBorders>
              <w:top w:val="single" w:sz="4" w:space="0" w:color="auto"/>
              <w:right w:val="single" w:sz="4" w:space="0" w:color="auto"/>
            </w:tcBorders>
            <w:shd w:val="clear" w:color="auto" w:fill="FFFFFF"/>
          </w:tcPr>
          <w:p w14:paraId="3FB2B499" w14:textId="77777777" w:rsidR="00B33348" w:rsidRPr="0057781B" w:rsidRDefault="007C3B27" w:rsidP="002C713B">
            <w:pPr>
              <w:pStyle w:val="a5"/>
              <w:shd w:val="clear" w:color="auto" w:fill="auto"/>
              <w:spacing w:after="0" w:line="240" w:lineRule="auto"/>
              <w:jc w:val="both"/>
              <w:rPr>
                <w:lang w:val="ru-RU"/>
              </w:rPr>
            </w:pPr>
            <w:r>
              <w:rPr>
                <w:lang w:val="ru"/>
              </w:rPr>
              <w:t>Консенсус, влияющий на изменение протокола, при котором участники, не принявшие изменение, не смогут продолжать валидацию и верификацию транзакций.</w:t>
            </w:r>
          </w:p>
        </w:tc>
      </w:tr>
      <w:tr w:rsidR="00B33348" w:rsidRPr="0057781B" w14:paraId="741D1930" w14:textId="77777777">
        <w:trPr>
          <w:trHeight w:hRule="exact" w:val="1070"/>
          <w:jc w:val="center"/>
        </w:trPr>
        <w:tc>
          <w:tcPr>
            <w:tcW w:w="2837" w:type="dxa"/>
            <w:tcBorders>
              <w:top w:val="single" w:sz="4" w:space="0" w:color="auto"/>
              <w:left w:val="single" w:sz="4" w:space="0" w:color="auto"/>
            </w:tcBorders>
            <w:shd w:val="clear" w:color="auto" w:fill="FFFFFF"/>
          </w:tcPr>
          <w:p w14:paraId="05FBF2D9" w14:textId="77777777" w:rsidR="00B33348" w:rsidRDefault="007C3B27" w:rsidP="002C713B">
            <w:pPr>
              <w:pStyle w:val="a5"/>
              <w:shd w:val="clear" w:color="auto" w:fill="auto"/>
              <w:spacing w:after="0" w:line="240" w:lineRule="auto"/>
              <w:jc w:val="both"/>
            </w:pPr>
            <w:proofErr w:type="spellStart"/>
            <w:r>
              <w:rPr>
                <w:lang w:val="ru"/>
              </w:rPr>
              <w:t>Софтфорк</w:t>
            </w:r>
            <w:proofErr w:type="spellEnd"/>
          </w:p>
        </w:tc>
        <w:tc>
          <w:tcPr>
            <w:tcW w:w="6533" w:type="dxa"/>
            <w:tcBorders>
              <w:top w:val="single" w:sz="4" w:space="0" w:color="auto"/>
              <w:left w:val="single" w:sz="4" w:space="0" w:color="auto"/>
              <w:right w:val="single" w:sz="4" w:space="0" w:color="auto"/>
            </w:tcBorders>
            <w:shd w:val="clear" w:color="auto" w:fill="FFFFFF"/>
          </w:tcPr>
          <w:p w14:paraId="2DA027A1" w14:textId="77777777" w:rsidR="00B33348" w:rsidRPr="0057781B" w:rsidRDefault="007C3B27" w:rsidP="002C713B">
            <w:pPr>
              <w:pStyle w:val="a5"/>
              <w:shd w:val="clear" w:color="auto" w:fill="auto"/>
              <w:spacing w:after="0" w:line="240" w:lineRule="auto"/>
              <w:jc w:val="both"/>
              <w:rPr>
                <w:lang w:val="ru-RU"/>
              </w:rPr>
            </w:pPr>
            <w:r>
              <w:rPr>
                <w:lang w:val="ru"/>
              </w:rPr>
              <w:t>Консенсус, влияющий на изменение протокола, в соответствии с которым участники, не принявшие изменение, по-прежнему смогут участвовать в валидации и проверке транзакций.</w:t>
            </w:r>
          </w:p>
        </w:tc>
      </w:tr>
      <w:tr w:rsidR="00B33348" w:rsidRPr="0057781B" w14:paraId="7DD9D564" w14:textId="77777777">
        <w:trPr>
          <w:trHeight w:hRule="exact" w:val="2990"/>
          <w:jc w:val="center"/>
        </w:trPr>
        <w:tc>
          <w:tcPr>
            <w:tcW w:w="2837" w:type="dxa"/>
            <w:tcBorders>
              <w:top w:val="single" w:sz="4" w:space="0" w:color="auto"/>
              <w:left w:val="single" w:sz="4" w:space="0" w:color="auto"/>
              <w:bottom w:val="single" w:sz="4" w:space="0" w:color="auto"/>
            </w:tcBorders>
            <w:shd w:val="clear" w:color="auto" w:fill="FFFFFF"/>
          </w:tcPr>
          <w:p w14:paraId="1B5C2E24" w14:textId="77777777" w:rsidR="00B33348" w:rsidRDefault="007C3B27" w:rsidP="002C713B">
            <w:pPr>
              <w:pStyle w:val="a5"/>
              <w:shd w:val="clear" w:color="auto" w:fill="auto"/>
              <w:spacing w:after="0" w:line="240" w:lineRule="auto"/>
              <w:jc w:val="both"/>
            </w:pPr>
            <w:r>
              <w:rPr>
                <w:lang w:val="ru"/>
              </w:rPr>
              <w:t>51% атаки</w:t>
            </w:r>
          </w:p>
        </w:tc>
        <w:tc>
          <w:tcPr>
            <w:tcW w:w="6533" w:type="dxa"/>
            <w:tcBorders>
              <w:top w:val="single" w:sz="4" w:space="0" w:color="auto"/>
              <w:bottom w:val="single" w:sz="4" w:space="0" w:color="auto"/>
              <w:right w:val="single" w:sz="4" w:space="0" w:color="auto"/>
            </w:tcBorders>
            <w:shd w:val="clear" w:color="auto" w:fill="FFFFFF"/>
            <w:vAlign w:val="bottom"/>
          </w:tcPr>
          <w:p w14:paraId="3A62DD8A" w14:textId="77777777" w:rsidR="00B33348" w:rsidRPr="0057781B" w:rsidRDefault="007C3B27" w:rsidP="002C713B">
            <w:pPr>
              <w:pStyle w:val="a5"/>
              <w:shd w:val="clear" w:color="auto" w:fill="auto"/>
              <w:spacing w:after="0" w:line="240" w:lineRule="auto"/>
              <w:jc w:val="both"/>
              <w:rPr>
                <w:lang w:val="ru-RU"/>
              </w:rPr>
            </w:pPr>
            <w:r>
              <w:rPr>
                <w:lang w:val="ru"/>
              </w:rPr>
              <w:t>Атака 51% — это потенциальная атака на сеть блокчейн, где один субъект или организация может контролировать высокий процент хешрейта, что потенциально может вызвать сбой в сети. В таком сценарии у злоумышленника будет достаточно мощности для майнинга, чтобы намеренно исключить или изменить порядок транзакций. Такой злоумышленник потенциально может также отменить транзакции, что позволит ему дважды потратить одну и ту же единицу цифрового актива. Успешная атака большинства в дальнейшем позволит злоумышленнику предотвратить подтверждение некоторых или всех транзакций (отказ в обслуживании транзакций) или</w:t>
            </w:r>
          </w:p>
        </w:tc>
      </w:tr>
    </w:tbl>
    <w:p w14:paraId="28DC4A80" w14:textId="77777777" w:rsidR="00B33348" w:rsidRPr="0057781B" w:rsidRDefault="007C3B27" w:rsidP="002C713B">
      <w:pPr>
        <w:jc w:val="both"/>
        <w:rPr>
          <w:sz w:val="2"/>
          <w:szCs w:val="2"/>
          <w:lang w:val="ru-RU"/>
        </w:rPr>
      </w:pPr>
      <w:r w:rsidRPr="0057781B">
        <w:rPr>
          <w:lang w:val="ru-RU"/>
        </w:rPr>
        <w:br w:type="page"/>
      </w:r>
    </w:p>
    <w:p w14:paraId="2622DD01" w14:textId="77777777" w:rsidR="00B33348" w:rsidRPr="0057781B" w:rsidRDefault="007C3B27" w:rsidP="002C713B">
      <w:pPr>
        <w:pStyle w:val="1"/>
        <w:shd w:val="clear" w:color="auto" w:fill="auto"/>
        <w:spacing w:after="0" w:line="240" w:lineRule="auto"/>
        <w:jc w:val="both"/>
        <w:rPr>
          <w:lang w:val="ru-RU"/>
        </w:rPr>
      </w:pPr>
      <w:r>
        <w:rPr>
          <w:noProof/>
          <w:lang w:val="ru"/>
        </w:rPr>
        <w:lastRenderedPageBreak/>
        <mc:AlternateContent>
          <mc:Choice Requires="wps">
            <w:drawing>
              <wp:anchor distT="0" distB="0" distL="114300" distR="114300" simplePos="0" relativeHeight="125829378" behindDoc="0" locked="0" layoutInCell="1" allowOverlap="1" wp14:anchorId="084CA4C9" wp14:editId="7F5A5675">
                <wp:simplePos x="0" y="0"/>
                <wp:positionH relativeFrom="page">
                  <wp:posOffset>1313815</wp:posOffset>
                </wp:positionH>
                <wp:positionV relativeFrom="paragraph">
                  <wp:posOffset>495300</wp:posOffset>
                </wp:positionV>
                <wp:extent cx="1398905" cy="40259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398905" cy="402590"/>
                        </a:xfrm>
                        <a:prstGeom prst="rect">
                          <a:avLst/>
                        </a:prstGeom>
                        <a:noFill/>
                      </wps:spPr>
                      <wps:txbx>
                        <w:txbxContent>
                          <w:p w14:paraId="27CF392A" w14:textId="77777777" w:rsidR="00B33348" w:rsidRPr="0057781B" w:rsidRDefault="007C3B27">
                            <w:pPr>
                              <w:pStyle w:val="1"/>
                              <w:shd w:val="clear" w:color="auto" w:fill="auto"/>
                              <w:spacing w:after="0"/>
                              <w:rPr>
                                <w:lang w:val="ru-RU"/>
                              </w:rPr>
                            </w:pPr>
                            <w:r>
                              <w:rPr>
                                <w:lang w:val="ru"/>
                              </w:rPr>
                              <w:t>Атака на столкновение/атака на день рождения</w:t>
                            </w:r>
                          </w:p>
                        </w:txbxContent>
                      </wps:txbx>
                      <wps:bodyPr lIns="0" tIns="0" rIns="0" bIns="0"/>
                    </wps:wsp>
                  </a:graphicData>
                </a:graphic>
              </wp:anchor>
            </w:drawing>
          </mc:Choice>
          <mc:Fallback>
            <w:pict>
              <v:shapetype w14:anchorId="084CA4C9" id="_x0000_t202" coordsize="21600,21600" o:spt="202" path="m,l,21600r21600,l21600,xe">
                <v:stroke joinstyle="miter"/>
                <v:path gradientshapeok="t" o:connecttype="rect"/>
              </v:shapetype>
              <v:shape id="Shape 1" o:spid="_x0000_s1026" type="#_x0000_t202" style="position:absolute;left:0;text-align:left;margin-left:103.45pt;margin-top:39pt;width:110.15pt;height:31.7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" filled="f" stroked="f">
                <v:textbox inset="0,0,0,0">
                  <w:txbxContent>
                    <w:p w14:paraId="27CF392A" w14:textId="77777777" w:rsidR="00B33348" w:rsidRPr="0057781B" w:rsidRDefault="007C3B27">
                      <w:pPr>
                        <w:pStyle w:val="1"/>
                        <w:shd w:val="clear" w:color="auto" w:fill="auto"/>
                        <w:spacing w:after="0"/>
                        <w:rPr>
                          <w:lang w:val="ru-RU"/>
                        </w:rPr>
                      </w:pPr>
                      <w:r>
                        <w:rPr>
                          <w:lang w:val="ru"/>
                        </w:rPr>
                        <w:t>Атака на столкновение/атака на день рождения</w:t>
                      </w:r>
                    </w:p>
                  </w:txbxContent>
                </v:textbox>
                <w10:wrap type="square" side="right" anchorx="page"/>
              </v:shape>
            </w:pict>
          </mc:Fallback>
        </mc:AlternateContent>
      </w:r>
      <w:r>
        <w:rPr>
          <w:lang w:val="ru"/>
        </w:rPr>
        <w:t>Запретить майнинг некоторым или всем другим майнерам, что приводит к так называемой монополии на майнинг (атака цензуры).</w:t>
      </w:r>
    </w:p>
    <w:p w14:paraId="2285344D" w14:textId="3EDEC7FD" w:rsidR="00B33348" w:rsidRPr="0057781B" w:rsidRDefault="007C3B27" w:rsidP="002C713B">
      <w:pPr>
        <w:pStyle w:val="1"/>
        <w:shd w:val="clear" w:color="auto" w:fill="auto"/>
        <w:spacing w:after="0" w:line="240" w:lineRule="auto"/>
        <w:jc w:val="both"/>
        <w:rPr>
          <w:lang w:val="ru-RU"/>
        </w:rPr>
      </w:pPr>
      <w:r>
        <w:rPr>
          <w:lang w:val="ru"/>
        </w:rPr>
        <w:t>Коллизия Атака на криптографический хэш пытается найти два входа, дающих одно и то же хэш-значение, т.е. хеш-коллизию. Этот тип криптографической атаки использует математику, лежащую в основе задачи дня рождения в теории вероятностей, и зависит от более высокого</w:t>
      </w:r>
    </w:p>
    <w:p w14:paraId="03AAFCFF" w14:textId="77777777" w:rsidR="002C713B" w:rsidRPr="0057781B" w:rsidRDefault="002C713B" w:rsidP="002C713B">
      <w:pPr>
        <w:pStyle w:val="1"/>
        <w:shd w:val="clear" w:color="auto" w:fill="auto"/>
        <w:spacing w:after="0" w:line="240" w:lineRule="auto"/>
        <w:jc w:val="both"/>
        <w:rPr>
          <w:lang w:val="ru-RU"/>
        </w:rPr>
      </w:pPr>
    </w:p>
    <w:p w14:paraId="2CCBF6D5" w14:textId="26A4454C" w:rsidR="002C713B" w:rsidRDefault="002C713B" w:rsidP="002C713B">
      <w:pPr>
        <w:pStyle w:val="1"/>
        <w:numPr>
          <w:ilvl w:val="0"/>
          <w:numId w:val="6"/>
        </w:numPr>
        <w:spacing w:after="0" w:line="240" w:lineRule="auto"/>
        <w:jc w:val="both"/>
        <w:rPr>
          <w:b/>
          <w:bCs/>
        </w:rPr>
      </w:pPr>
      <w:r w:rsidRPr="002C713B">
        <w:rPr>
          <w:b/>
          <w:bCs/>
          <w:lang w:val="ru"/>
        </w:rPr>
        <w:t>ОТКАЗ ОТ ГАРАНТИЙ</w:t>
      </w:r>
    </w:p>
    <w:p w14:paraId="2B16D98A" w14:textId="77777777" w:rsidR="002C713B" w:rsidRPr="002C713B" w:rsidRDefault="002C713B" w:rsidP="002C713B">
      <w:pPr>
        <w:pStyle w:val="1"/>
        <w:spacing w:after="0" w:line="240" w:lineRule="auto"/>
        <w:jc w:val="both"/>
      </w:pPr>
    </w:p>
    <w:p w14:paraId="27C9113D" w14:textId="38D09CB1" w:rsidR="002C713B" w:rsidRPr="0057781B" w:rsidRDefault="002C713B" w:rsidP="002C713B">
      <w:pPr>
        <w:pStyle w:val="1"/>
        <w:numPr>
          <w:ilvl w:val="0"/>
          <w:numId w:val="8"/>
        </w:numPr>
        <w:spacing w:after="0" w:line="240" w:lineRule="auto"/>
        <w:jc w:val="both"/>
        <w:rPr>
          <w:lang w:val="ru-RU"/>
        </w:rPr>
      </w:pPr>
      <w:r w:rsidRPr="002C713B">
        <w:rPr>
          <w:b/>
          <w:bCs/>
          <w:lang w:val="ru"/>
        </w:rPr>
        <w:t>Общий отказ от ответственности:</w:t>
      </w:r>
      <w:r w:rsidRPr="002C713B">
        <w:rPr>
          <w:lang w:val="ru"/>
        </w:rPr>
        <w:t xml:space="preserve"> Если иное прямо не указано или не запрещено применимым законодательством, все услуги, материалы и другие предметы, предоставляемые CaspianEx или от ее имени, представлены на условиях «как есть» и «как доступно». CaspianEx отказывается от всех гарантий, явных или подразумеваемых, кроме тех, которые прямо перечислены в настоящих условиях.</w:t>
      </w:r>
    </w:p>
    <w:p w14:paraId="67A70C0D" w14:textId="36180AA4" w:rsidR="002C713B" w:rsidRPr="0057781B" w:rsidRDefault="002C713B" w:rsidP="002C713B">
      <w:pPr>
        <w:pStyle w:val="1"/>
        <w:numPr>
          <w:ilvl w:val="0"/>
          <w:numId w:val="8"/>
        </w:numPr>
        <w:spacing w:after="0" w:line="240" w:lineRule="auto"/>
        <w:jc w:val="both"/>
        <w:rPr>
          <w:lang w:val="ru-RU"/>
        </w:rPr>
      </w:pPr>
      <w:r w:rsidRPr="002C713B">
        <w:rPr>
          <w:b/>
          <w:bCs/>
          <w:lang w:val="ru"/>
        </w:rPr>
        <w:t>Отсутствие подразумеваемых гарантий:</w:t>
      </w:r>
      <w:r w:rsidRPr="002C713B">
        <w:rPr>
          <w:lang w:val="ru"/>
        </w:rPr>
        <w:t xml:space="preserve"> В частности, CaspianEx отказывается от каких-либо подразумеваемых гарантий товарной пригодности, пригодности для определенной цели, права собственности и ненарушения прав интеллектуальной собственности. CaspianEx не гарантирует, что предоставляемые услуги или материалы будут соответствовать вашим потребностям или что их функциональность будет бесперебойной или безошибочной.</w:t>
      </w:r>
    </w:p>
    <w:p w14:paraId="0E864616" w14:textId="535D1556" w:rsidR="002C713B" w:rsidRPr="0057781B" w:rsidRDefault="002C713B" w:rsidP="002C713B">
      <w:pPr>
        <w:pStyle w:val="1"/>
        <w:numPr>
          <w:ilvl w:val="0"/>
          <w:numId w:val="8"/>
        </w:numPr>
        <w:spacing w:after="0" w:line="240" w:lineRule="auto"/>
        <w:jc w:val="both"/>
        <w:rPr>
          <w:lang w:val="ru-RU"/>
        </w:rPr>
      </w:pPr>
      <w:r w:rsidRPr="002C713B">
        <w:rPr>
          <w:b/>
          <w:bCs/>
          <w:lang w:val="ru"/>
        </w:rPr>
        <w:t>Особые оговорки:</w:t>
      </w:r>
      <w:r w:rsidRPr="002C713B">
        <w:rPr>
          <w:lang w:val="ru"/>
        </w:rPr>
        <w:t xml:space="preserve"> CaspianEx не гарантирует и не заявляет:</w:t>
      </w:r>
    </w:p>
    <w:p w14:paraId="503B7B07" w14:textId="77777777" w:rsidR="002C713B" w:rsidRPr="0057781B" w:rsidRDefault="002C713B" w:rsidP="002C713B">
      <w:pPr>
        <w:pStyle w:val="1"/>
        <w:numPr>
          <w:ilvl w:val="0"/>
          <w:numId w:val="8"/>
        </w:numPr>
        <w:spacing w:after="0" w:line="240" w:lineRule="auto"/>
        <w:jc w:val="both"/>
        <w:rPr>
          <w:lang w:val="ru-RU"/>
        </w:rPr>
      </w:pPr>
      <w:r w:rsidRPr="002C713B">
        <w:rPr>
          <w:lang w:val="ru"/>
        </w:rPr>
        <w:t>Полная точность, надежность или своевременность сайта, услуг или материалов CaspianEx.</w:t>
      </w:r>
    </w:p>
    <w:p w14:paraId="14EBAEDC" w14:textId="77777777" w:rsidR="002C713B" w:rsidRPr="0057781B" w:rsidRDefault="002C713B" w:rsidP="002C713B">
      <w:pPr>
        <w:pStyle w:val="1"/>
        <w:numPr>
          <w:ilvl w:val="0"/>
          <w:numId w:val="8"/>
        </w:numPr>
        <w:spacing w:after="0" w:line="240" w:lineRule="auto"/>
        <w:jc w:val="both"/>
        <w:rPr>
          <w:lang w:val="ru-RU"/>
        </w:rPr>
      </w:pPr>
      <w:r w:rsidRPr="002C713B">
        <w:rPr>
          <w:lang w:val="ru"/>
        </w:rPr>
        <w:t>Сайт, услуги или материалы не будут содержать вирусов, вредоносного программного обеспечения или других вредоносных сущностей.</w:t>
      </w:r>
    </w:p>
    <w:p w14:paraId="309FF64E" w14:textId="77777777" w:rsidR="002C713B" w:rsidRPr="0057781B" w:rsidRDefault="002C713B" w:rsidP="002C713B">
      <w:pPr>
        <w:pStyle w:val="1"/>
        <w:numPr>
          <w:ilvl w:val="0"/>
          <w:numId w:val="8"/>
        </w:numPr>
        <w:spacing w:after="0" w:line="240" w:lineRule="auto"/>
        <w:jc w:val="both"/>
        <w:rPr>
          <w:lang w:val="ru-RU"/>
        </w:rPr>
      </w:pPr>
      <w:r w:rsidRPr="002C713B">
        <w:rPr>
          <w:lang w:val="ru"/>
        </w:rPr>
        <w:t>Окончательное исполнение, принятие, запись или сохранение любого ордера.</w:t>
      </w:r>
    </w:p>
    <w:p w14:paraId="03B8D3A6" w14:textId="1DD75440" w:rsidR="002C713B" w:rsidRPr="0057781B" w:rsidRDefault="002C713B" w:rsidP="002C713B">
      <w:pPr>
        <w:pStyle w:val="1"/>
        <w:numPr>
          <w:ilvl w:val="0"/>
          <w:numId w:val="8"/>
        </w:numPr>
        <w:spacing w:after="0" w:line="240" w:lineRule="auto"/>
        <w:jc w:val="both"/>
        <w:rPr>
          <w:lang w:val="ru-RU"/>
        </w:rPr>
      </w:pPr>
      <w:r w:rsidRPr="002C713B">
        <w:rPr>
          <w:b/>
          <w:bCs/>
          <w:lang w:val="ru"/>
        </w:rPr>
        <w:t>Отказ от доверия</w:t>
      </w:r>
      <w:proofErr w:type="gramStart"/>
      <w:r w:rsidRPr="002C713B">
        <w:rPr>
          <w:b/>
          <w:bCs/>
          <w:lang w:val="ru"/>
        </w:rPr>
        <w:t>:</w:t>
      </w:r>
      <w:r w:rsidRPr="002C713B">
        <w:rPr>
          <w:lang w:val="ru"/>
        </w:rPr>
        <w:t xml:space="preserve"> Помимо</w:t>
      </w:r>
      <w:proofErr w:type="gramEnd"/>
      <w:r w:rsidRPr="002C713B">
        <w:rPr>
          <w:lang w:val="ru"/>
        </w:rPr>
        <w:t xml:space="preserve"> четких положений настоящих условий, Вы подтверждаете, что Вы не полагались на какие-либо другие устные или письменные заявления или соглашения, касающиеся Вашего использования и доступа к услугам CaspianEx.</w:t>
      </w:r>
    </w:p>
    <w:p w14:paraId="4490AC17" w14:textId="77777777" w:rsidR="002C713B" w:rsidRPr="0057781B" w:rsidRDefault="002C713B" w:rsidP="002C713B">
      <w:pPr>
        <w:pStyle w:val="1"/>
        <w:spacing w:after="0" w:line="240" w:lineRule="auto"/>
        <w:jc w:val="both"/>
        <w:rPr>
          <w:lang w:val="ru-RU"/>
        </w:rPr>
      </w:pPr>
    </w:p>
    <w:p w14:paraId="58A1BB2A" w14:textId="561731F3" w:rsidR="002C713B" w:rsidRPr="002C713B" w:rsidRDefault="002C713B" w:rsidP="002C713B">
      <w:pPr>
        <w:pStyle w:val="1"/>
        <w:numPr>
          <w:ilvl w:val="0"/>
          <w:numId w:val="11"/>
        </w:numPr>
        <w:spacing w:after="0" w:line="240" w:lineRule="auto"/>
        <w:jc w:val="both"/>
      </w:pPr>
      <w:r w:rsidRPr="002C713B">
        <w:rPr>
          <w:b/>
          <w:bCs/>
          <w:lang w:val="ru"/>
        </w:rPr>
        <w:t>ОСВОБОЖДЕНИЕ ОТ ОТВЕТСТВЕННОСТИ</w:t>
      </w:r>
    </w:p>
    <w:p w14:paraId="52E42845" w14:textId="77777777" w:rsidR="002C713B" w:rsidRPr="002C713B" w:rsidRDefault="002C713B" w:rsidP="002C713B">
      <w:pPr>
        <w:pStyle w:val="1"/>
        <w:spacing w:after="0" w:line="240" w:lineRule="auto"/>
        <w:ind w:left="360"/>
        <w:jc w:val="both"/>
      </w:pPr>
    </w:p>
    <w:p w14:paraId="4F9614EC" w14:textId="77777777" w:rsidR="002C713B" w:rsidRPr="0057781B" w:rsidRDefault="002C713B" w:rsidP="002C713B">
      <w:pPr>
        <w:pStyle w:val="1"/>
        <w:numPr>
          <w:ilvl w:val="0"/>
          <w:numId w:val="12"/>
        </w:numPr>
        <w:spacing w:after="0" w:line="240" w:lineRule="auto"/>
        <w:jc w:val="both"/>
        <w:rPr>
          <w:lang w:val="ru-RU"/>
        </w:rPr>
      </w:pPr>
      <w:r w:rsidRPr="002C713B">
        <w:rPr>
          <w:lang w:val="ru"/>
        </w:rPr>
        <w:t>CaspianEx не несет ответственности за убытки или ущерб, связанные с:</w:t>
      </w:r>
    </w:p>
    <w:p w14:paraId="5557C907" w14:textId="77777777" w:rsidR="002C713B" w:rsidRPr="0057781B" w:rsidRDefault="002C713B" w:rsidP="002C713B">
      <w:pPr>
        <w:pStyle w:val="1"/>
        <w:numPr>
          <w:ilvl w:val="1"/>
          <w:numId w:val="14"/>
        </w:numPr>
        <w:spacing w:after="0" w:line="240" w:lineRule="auto"/>
        <w:jc w:val="both"/>
        <w:rPr>
          <w:lang w:val="ru-RU"/>
        </w:rPr>
      </w:pPr>
      <w:r w:rsidRPr="002C713B">
        <w:rPr>
          <w:lang w:val="ru"/>
        </w:rPr>
        <w:t>Ошибочные, неполные или устаревшие данные о ценах на цифровые активы.</w:t>
      </w:r>
    </w:p>
    <w:p w14:paraId="39A15630" w14:textId="77777777" w:rsidR="002C713B" w:rsidRPr="0057781B" w:rsidRDefault="002C713B" w:rsidP="002C713B">
      <w:pPr>
        <w:pStyle w:val="1"/>
        <w:numPr>
          <w:ilvl w:val="1"/>
          <w:numId w:val="14"/>
        </w:numPr>
        <w:spacing w:after="0" w:line="240" w:lineRule="auto"/>
        <w:jc w:val="both"/>
        <w:rPr>
          <w:lang w:val="ru-RU"/>
        </w:rPr>
      </w:pPr>
      <w:r w:rsidRPr="002C713B">
        <w:rPr>
          <w:lang w:val="ru"/>
        </w:rPr>
        <w:t>Задержки, ошибки или перебои в передаче данных о цифровых активах.</w:t>
      </w:r>
    </w:p>
    <w:p w14:paraId="3798F084" w14:textId="77777777" w:rsidR="002C713B" w:rsidRPr="0057781B" w:rsidRDefault="002C713B" w:rsidP="002C713B">
      <w:pPr>
        <w:pStyle w:val="1"/>
        <w:numPr>
          <w:ilvl w:val="1"/>
          <w:numId w:val="14"/>
        </w:numPr>
        <w:spacing w:after="0" w:line="240" w:lineRule="auto"/>
        <w:jc w:val="both"/>
        <w:rPr>
          <w:lang w:val="ru-RU"/>
        </w:rPr>
      </w:pPr>
      <w:r w:rsidRPr="002C713B">
        <w:rPr>
          <w:lang w:val="ru"/>
        </w:rPr>
        <w:t>Любое внеплановое или плановое техническое обслуживание и связанные с ним перерывы или изменения, связанные с таким обслуживанием.</w:t>
      </w:r>
    </w:p>
    <w:p w14:paraId="786F5780" w14:textId="77777777" w:rsidR="002C713B" w:rsidRPr="0057781B" w:rsidRDefault="002C713B" w:rsidP="002C713B">
      <w:pPr>
        <w:pStyle w:val="1"/>
        <w:numPr>
          <w:ilvl w:val="1"/>
          <w:numId w:val="14"/>
        </w:numPr>
        <w:spacing w:after="0" w:line="240" w:lineRule="auto"/>
        <w:jc w:val="both"/>
        <w:rPr>
          <w:lang w:val="ru-RU"/>
        </w:rPr>
      </w:pPr>
      <w:r w:rsidRPr="002C713B">
        <w:rPr>
          <w:lang w:val="ru"/>
        </w:rPr>
        <w:t>Убытки из-за действий или бездействия других пользователей, нарушающих эти условия.</w:t>
      </w:r>
    </w:p>
    <w:p w14:paraId="53A33F54" w14:textId="77777777" w:rsidR="002C713B" w:rsidRPr="0057781B" w:rsidRDefault="002C713B" w:rsidP="002C713B">
      <w:pPr>
        <w:pStyle w:val="1"/>
        <w:numPr>
          <w:ilvl w:val="1"/>
          <w:numId w:val="14"/>
        </w:numPr>
        <w:spacing w:after="0" w:line="240" w:lineRule="auto"/>
        <w:jc w:val="both"/>
        <w:rPr>
          <w:lang w:val="ru-RU"/>
        </w:rPr>
      </w:pPr>
      <w:r w:rsidRPr="002C713B">
        <w:rPr>
          <w:lang w:val="ru"/>
        </w:rPr>
        <w:t>Ущерб, возникший в результате несанкционированных или незаконных действий третьих лиц.</w:t>
      </w:r>
    </w:p>
    <w:p w14:paraId="3B815A8B" w14:textId="77777777" w:rsidR="002C713B" w:rsidRPr="0057781B" w:rsidRDefault="002C713B" w:rsidP="002C713B">
      <w:pPr>
        <w:pStyle w:val="1"/>
        <w:numPr>
          <w:ilvl w:val="1"/>
          <w:numId w:val="14"/>
        </w:numPr>
        <w:spacing w:after="0" w:line="240" w:lineRule="auto"/>
        <w:jc w:val="both"/>
        <w:rPr>
          <w:lang w:val="ru-RU"/>
        </w:rPr>
      </w:pPr>
      <w:r w:rsidRPr="002C713B">
        <w:rPr>
          <w:lang w:val="ru"/>
        </w:rPr>
        <w:t>Волатильность рынка: CaspianEx не несет ответственности за убытки или ущерб, возникшие в результате волатильности рынка. Клиент принимает на себя все риски, связанные с высокой волатильностью рынка цифровых активов. В случаях, когда происходит потеря цифровых активов из-за колебаний рынка, клиент не имеет никаких претензий к CaspianEx.</w:t>
      </w:r>
    </w:p>
    <w:p w14:paraId="4BAD7355" w14:textId="6BA1DBFD" w:rsidR="002C713B" w:rsidRPr="0057781B" w:rsidRDefault="002C713B" w:rsidP="002C713B">
      <w:pPr>
        <w:pStyle w:val="1"/>
        <w:numPr>
          <w:ilvl w:val="1"/>
          <w:numId w:val="14"/>
        </w:numPr>
        <w:spacing w:after="0" w:line="240" w:lineRule="auto"/>
        <w:jc w:val="both"/>
        <w:rPr>
          <w:lang w:val="ru-RU"/>
        </w:rPr>
      </w:pPr>
      <w:r w:rsidRPr="002C713B">
        <w:rPr>
          <w:lang w:val="ru"/>
        </w:rPr>
        <w:t xml:space="preserve">Любые другие исключения и условия, изложенные в правилах платформы </w:t>
      </w:r>
      <w:r w:rsidRPr="002C713B">
        <w:rPr>
          <w:lang w:val="ru"/>
        </w:rPr>
        <w:lastRenderedPageBreak/>
        <w:t>CaspianEx и конкретных заявлениях об отказе от ответственности.</w:t>
      </w:r>
    </w:p>
    <w:p w14:paraId="582E564D" w14:textId="4C74719D" w:rsidR="002C713B" w:rsidRPr="0057781B" w:rsidRDefault="002C713B" w:rsidP="002C713B">
      <w:pPr>
        <w:pStyle w:val="1"/>
        <w:spacing w:after="0" w:line="240" w:lineRule="auto"/>
        <w:jc w:val="both"/>
        <w:rPr>
          <w:lang w:val="ru-RU"/>
        </w:rPr>
      </w:pPr>
    </w:p>
    <w:p w14:paraId="04B19A53" w14:textId="165F2A93" w:rsidR="002C713B" w:rsidRPr="002C713B" w:rsidRDefault="002C713B" w:rsidP="002C713B">
      <w:pPr>
        <w:pStyle w:val="1"/>
        <w:numPr>
          <w:ilvl w:val="0"/>
          <w:numId w:val="16"/>
        </w:numPr>
        <w:spacing w:after="0" w:line="240" w:lineRule="auto"/>
        <w:jc w:val="both"/>
      </w:pPr>
      <w:r w:rsidRPr="002C713B">
        <w:rPr>
          <w:b/>
          <w:bCs/>
          <w:lang w:val="ru"/>
        </w:rPr>
        <w:t>ОГРАНИЧЕНИЕ ОТВЕТСТВЕННОСТИ</w:t>
      </w:r>
    </w:p>
    <w:p w14:paraId="5BF100EC" w14:textId="77777777" w:rsidR="002C713B" w:rsidRPr="002C713B" w:rsidRDefault="002C713B" w:rsidP="002C713B">
      <w:pPr>
        <w:pStyle w:val="1"/>
        <w:spacing w:after="0" w:line="240" w:lineRule="auto"/>
        <w:ind w:left="360"/>
        <w:jc w:val="both"/>
      </w:pPr>
    </w:p>
    <w:p w14:paraId="2C7A072B" w14:textId="12FDDEF2" w:rsidR="002C713B" w:rsidRPr="0057781B" w:rsidRDefault="002C713B" w:rsidP="002C713B">
      <w:pPr>
        <w:pStyle w:val="1"/>
        <w:numPr>
          <w:ilvl w:val="0"/>
          <w:numId w:val="17"/>
        </w:numPr>
        <w:spacing w:after="0" w:line="240" w:lineRule="auto"/>
        <w:jc w:val="both"/>
        <w:rPr>
          <w:lang w:val="ru-RU"/>
        </w:rPr>
      </w:pPr>
      <w:r w:rsidRPr="002C713B">
        <w:rPr>
          <w:b/>
          <w:bCs/>
          <w:lang w:val="ru"/>
        </w:rPr>
        <w:t>Общие ограничения</w:t>
      </w:r>
      <w:proofErr w:type="gramStart"/>
      <w:r w:rsidRPr="002C713B">
        <w:rPr>
          <w:b/>
          <w:bCs/>
          <w:lang w:val="ru"/>
        </w:rPr>
        <w:t>:</w:t>
      </w:r>
      <w:r w:rsidRPr="002C713B">
        <w:rPr>
          <w:lang w:val="ru"/>
        </w:rPr>
        <w:t xml:space="preserve"> За исключением</w:t>
      </w:r>
      <w:proofErr w:type="gramEnd"/>
      <w:r w:rsidRPr="002C713B">
        <w:rPr>
          <w:lang w:val="ru"/>
        </w:rPr>
        <w:t xml:space="preserve"> случаев, когда это запрещено применимым законодательством или в ситуациях, связанных с грубой небрежностью, мошенничеством, умышленными неправомерными действиями или умышленными правонарушениями CaspianEx, ни CaspianEx, ни ее аффилированные лица не несут ответственности за какие-либо специальные, косвенные, случайные, штрафные или косвенные убытки, возникающие в результате предлагаемых услуг или продуктов.</w:t>
      </w:r>
    </w:p>
    <w:p w14:paraId="6071CC1E" w14:textId="17181290" w:rsidR="002C713B" w:rsidRPr="0057781B" w:rsidRDefault="002C713B" w:rsidP="002C713B">
      <w:pPr>
        <w:pStyle w:val="1"/>
        <w:numPr>
          <w:ilvl w:val="0"/>
          <w:numId w:val="17"/>
        </w:numPr>
        <w:spacing w:after="0" w:line="240" w:lineRule="auto"/>
        <w:jc w:val="both"/>
        <w:rPr>
          <w:lang w:val="ru-RU"/>
        </w:rPr>
      </w:pPr>
      <w:r w:rsidRPr="002C713B">
        <w:rPr>
          <w:b/>
          <w:bCs/>
          <w:lang w:val="ru"/>
        </w:rPr>
        <w:t>Юрисдикционные ограничения:</w:t>
      </w:r>
      <w:r w:rsidRPr="002C713B">
        <w:rPr>
          <w:lang w:val="ru"/>
        </w:rPr>
        <w:t xml:space="preserve"> В некоторых юрисдикциях могут быть введены правила, ограничивающие исключение или ограничение конкретных убытков; следовательно, вышеупомянутые ограничения могут не применяться в этих областях.</w:t>
      </w:r>
    </w:p>
    <w:p w14:paraId="08B09064" w14:textId="118CD4B7" w:rsidR="002C713B" w:rsidRPr="0057781B" w:rsidRDefault="002C713B" w:rsidP="002C713B">
      <w:pPr>
        <w:pStyle w:val="1"/>
        <w:numPr>
          <w:ilvl w:val="0"/>
          <w:numId w:val="17"/>
        </w:numPr>
        <w:spacing w:after="0" w:line="240" w:lineRule="auto"/>
        <w:jc w:val="both"/>
        <w:rPr>
          <w:lang w:val="ru-RU"/>
        </w:rPr>
      </w:pPr>
      <w:r w:rsidRPr="002C713B">
        <w:rPr>
          <w:b/>
          <w:bCs/>
          <w:lang w:val="ru"/>
        </w:rPr>
        <w:t>Ограниченная ответственность</w:t>
      </w:r>
      <w:proofErr w:type="gramStart"/>
      <w:r w:rsidRPr="002C713B">
        <w:rPr>
          <w:b/>
          <w:bCs/>
          <w:lang w:val="ru"/>
        </w:rPr>
        <w:t>:</w:t>
      </w:r>
      <w:r w:rsidRPr="002C713B">
        <w:rPr>
          <w:lang w:val="ru"/>
        </w:rPr>
        <w:t xml:space="preserve"> Независимо</w:t>
      </w:r>
      <w:proofErr w:type="gramEnd"/>
      <w:r w:rsidRPr="002C713B">
        <w:rPr>
          <w:lang w:val="ru"/>
        </w:rPr>
        <w:t xml:space="preserve"> от обстоятельств или правового обоснования, совокупная ответственность CaspianEx (и ее аффилированных лиц), возникающая в результате или в связи с предоставленными услугами или продуктами, не должна превышать общую сумму, которую вы перечислили CaspianEx в соответствии с настоящими условиями в течение двенадцати месяцев, предшествовавших событию, вызвавшему претензию.</w:t>
      </w:r>
    </w:p>
    <w:p w14:paraId="789FF89C" w14:textId="1DE9CE2D" w:rsidR="002C713B" w:rsidRPr="002C713B" w:rsidRDefault="002C713B" w:rsidP="002C713B">
      <w:pPr>
        <w:pStyle w:val="1"/>
        <w:spacing w:after="0" w:line="240" w:lineRule="auto"/>
        <w:jc w:val="both"/>
        <w:rPr>
          <w:lang w:val="ru-RU"/>
        </w:rPr>
      </w:pPr>
    </w:p>
    <w:p w14:paraId="2C115FED" w14:textId="65DD616B" w:rsidR="002C713B" w:rsidRPr="00395566" w:rsidRDefault="002C713B" w:rsidP="002C713B">
      <w:pPr>
        <w:pStyle w:val="1"/>
        <w:numPr>
          <w:ilvl w:val="0"/>
          <w:numId w:val="18"/>
        </w:numPr>
        <w:spacing w:after="0" w:line="240" w:lineRule="auto"/>
        <w:jc w:val="both"/>
      </w:pPr>
      <w:r w:rsidRPr="002C713B">
        <w:rPr>
          <w:b/>
          <w:bCs/>
          <w:lang w:val="ru"/>
        </w:rPr>
        <w:t>ПРИМЕНИМОЕ ПРАВО И РАЗРЕШЕНИЕ СПОРОВ</w:t>
      </w:r>
    </w:p>
    <w:p w14:paraId="78EF4266" w14:textId="77777777" w:rsidR="00395566" w:rsidRPr="002C713B" w:rsidRDefault="00395566" w:rsidP="00395566">
      <w:pPr>
        <w:pStyle w:val="1"/>
        <w:spacing w:after="0" w:line="240" w:lineRule="auto"/>
        <w:ind w:left="360"/>
        <w:jc w:val="both"/>
      </w:pPr>
    </w:p>
    <w:p w14:paraId="3199C643" w14:textId="25A8F7E9" w:rsidR="002C713B" w:rsidRPr="0057781B" w:rsidRDefault="002C713B" w:rsidP="00395566">
      <w:pPr>
        <w:pStyle w:val="1"/>
        <w:numPr>
          <w:ilvl w:val="0"/>
          <w:numId w:val="19"/>
        </w:numPr>
        <w:spacing w:after="0" w:line="240" w:lineRule="auto"/>
        <w:jc w:val="both"/>
        <w:rPr>
          <w:lang w:val="ru-RU"/>
        </w:rPr>
      </w:pPr>
      <w:r w:rsidRPr="002C713B">
        <w:rPr>
          <w:b/>
          <w:bCs/>
          <w:lang w:val="ru"/>
        </w:rPr>
        <w:t>Юрисдикция:</w:t>
      </w:r>
      <w:r w:rsidRPr="002C713B">
        <w:rPr>
          <w:lang w:val="ru"/>
        </w:rPr>
        <w:t xml:space="preserve"> Настоящий документ регулируется законодательством юрисдикции Международного финансового центра «Астана» (МФЦА).</w:t>
      </w:r>
    </w:p>
    <w:p w14:paraId="7357D6E6" w14:textId="67A75FE6" w:rsidR="002C713B" w:rsidRPr="0057781B" w:rsidRDefault="002C713B" w:rsidP="00395566">
      <w:pPr>
        <w:pStyle w:val="1"/>
        <w:numPr>
          <w:ilvl w:val="0"/>
          <w:numId w:val="19"/>
        </w:numPr>
        <w:spacing w:after="0" w:line="240" w:lineRule="auto"/>
        <w:jc w:val="both"/>
        <w:rPr>
          <w:lang w:val="ru-RU"/>
        </w:rPr>
      </w:pPr>
      <w:r w:rsidRPr="002C713B">
        <w:rPr>
          <w:b/>
          <w:bCs/>
          <w:lang w:val="ru"/>
        </w:rPr>
        <w:t>Разрешение споров:</w:t>
      </w:r>
      <w:r w:rsidRPr="002C713B">
        <w:rPr>
          <w:lang w:val="ru"/>
        </w:rPr>
        <w:t xml:space="preserve"> Любые споры или претензии, возникающие из настоящего документа или в связи с ним, а также с его нарушением, прекращением или недействительностью, подлежат разрешению в арбитражном суде в соответствии с Арбитражным регламентом Международного арбитражного центра МФЦА (МАЦ).</w:t>
      </w:r>
    </w:p>
    <w:p w14:paraId="0BDC183D" w14:textId="77777777" w:rsidR="002C713B" w:rsidRPr="0057781B" w:rsidRDefault="002C713B" w:rsidP="002C713B">
      <w:pPr>
        <w:pStyle w:val="1"/>
        <w:spacing w:after="0" w:line="240" w:lineRule="auto"/>
        <w:jc w:val="both"/>
        <w:rPr>
          <w:lang w:val="ru-RU"/>
        </w:rPr>
      </w:pPr>
    </w:p>
    <w:p w14:paraId="37593799" w14:textId="77777777" w:rsidR="002C713B" w:rsidRPr="0057781B" w:rsidRDefault="002C713B" w:rsidP="002C713B">
      <w:pPr>
        <w:pStyle w:val="1"/>
        <w:shd w:val="clear" w:color="auto" w:fill="auto"/>
        <w:spacing w:after="0" w:line="240" w:lineRule="auto"/>
        <w:jc w:val="both"/>
        <w:rPr>
          <w:lang w:val="ru-RU"/>
        </w:rPr>
      </w:pPr>
    </w:p>
    <w:p w14:paraId="3F247B0D" w14:textId="75916E85" w:rsidR="002C713B" w:rsidRPr="0057781B" w:rsidRDefault="002C713B" w:rsidP="002C713B">
      <w:pPr>
        <w:pStyle w:val="1"/>
        <w:shd w:val="clear" w:color="auto" w:fill="auto"/>
        <w:spacing w:after="0" w:line="240" w:lineRule="auto"/>
        <w:jc w:val="both"/>
        <w:rPr>
          <w:lang w:val="ru-RU"/>
        </w:rPr>
      </w:pPr>
    </w:p>
    <w:p w14:paraId="6B3425A4" w14:textId="24A70700" w:rsidR="00B33348" w:rsidRPr="00395566" w:rsidRDefault="007C3B27" w:rsidP="00395566">
      <w:pPr>
        <w:pStyle w:val="1"/>
        <w:numPr>
          <w:ilvl w:val="0"/>
          <w:numId w:val="20"/>
        </w:numPr>
        <w:shd w:val="clear" w:color="auto" w:fill="auto"/>
        <w:tabs>
          <w:tab w:val="left" w:pos="720"/>
        </w:tabs>
        <w:spacing w:after="0" w:line="240" w:lineRule="auto"/>
        <w:jc w:val="both"/>
      </w:pPr>
      <w:r>
        <w:rPr>
          <w:b/>
          <w:bCs/>
          <w:lang w:val="ru"/>
        </w:rPr>
        <w:t>Риски, характерные для цифровых активов</w:t>
      </w:r>
    </w:p>
    <w:p w14:paraId="36C450AF" w14:textId="77777777" w:rsidR="00395566" w:rsidRDefault="00395566" w:rsidP="00395566">
      <w:pPr>
        <w:pStyle w:val="1"/>
        <w:shd w:val="clear" w:color="auto" w:fill="auto"/>
        <w:tabs>
          <w:tab w:val="left" w:pos="720"/>
        </w:tabs>
        <w:spacing w:after="0" w:line="240" w:lineRule="auto"/>
        <w:jc w:val="both"/>
      </w:pPr>
    </w:p>
    <w:p w14:paraId="4A950335" w14:textId="0DB29F30" w:rsidR="00B33348" w:rsidRDefault="007C3B27" w:rsidP="00395566">
      <w:pPr>
        <w:pStyle w:val="11"/>
        <w:keepNext/>
        <w:keepLines/>
        <w:numPr>
          <w:ilvl w:val="0"/>
          <w:numId w:val="21"/>
        </w:numPr>
        <w:shd w:val="clear" w:color="auto" w:fill="auto"/>
        <w:tabs>
          <w:tab w:val="left" w:pos="318"/>
        </w:tabs>
        <w:spacing w:after="0" w:line="240" w:lineRule="auto"/>
        <w:jc w:val="both"/>
        <w:outlineLvl w:val="9"/>
      </w:pPr>
      <w:bookmarkStart w:id="6" w:name="bookmark6"/>
      <w:bookmarkStart w:id="7" w:name="bookmark7"/>
      <w:r>
        <w:rPr>
          <w:lang w:val="ru"/>
        </w:rPr>
        <w:t>Технологические риски</w:t>
      </w:r>
      <w:bookmarkEnd w:id="6"/>
      <w:bookmarkEnd w:id="7"/>
    </w:p>
    <w:p w14:paraId="1891BDA5" w14:textId="77777777" w:rsidR="00395566" w:rsidRDefault="00395566" w:rsidP="00395566">
      <w:pPr>
        <w:pStyle w:val="11"/>
        <w:keepNext/>
        <w:keepLines/>
        <w:shd w:val="clear" w:color="auto" w:fill="auto"/>
        <w:tabs>
          <w:tab w:val="left" w:pos="318"/>
        </w:tabs>
        <w:spacing w:after="0" w:line="240" w:lineRule="auto"/>
        <w:ind w:left="360"/>
        <w:jc w:val="both"/>
        <w:outlineLvl w:val="9"/>
      </w:pPr>
    </w:p>
    <w:p w14:paraId="51A8E131" w14:textId="77777777" w:rsidR="00B33348" w:rsidRPr="0057781B" w:rsidRDefault="007C3B27" w:rsidP="002C713B">
      <w:pPr>
        <w:pStyle w:val="1"/>
        <w:shd w:val="clear" w:color="auto" w:fill="auto"/>
        <w:spacing w:after="0" w:line="240" w:lineRule="auto"/>
        <w:jc w:val="both"/>
        <w:rPr>
          <w:lang w:val="ru-RU"/>
        </w:rPr>
      </w:pPr>
      <w:r>
        <w:rPr>
          <w:lang w:val="ru"/>
        </w:rPr>
        <w:t>Риски Цифровых активов, возникающие в связи с конкретным использованием технологии, могут включать, помимо прочего:</w:t>
      </w:r>
    </w:p>
    <w:p w14:paraId="56D405F1" w14:textId="77777777" w:rsidR="00B33348" w:rsidRDefault="007C3B27" w:rsidP="002C713B">
      <w:pPr>
        <w:pStyle w:val="1"/>
        <w:numPr>
          <w:ilvl w:val="0"/>
          <w:numId w:val="2"/>
        </w:numPr>
        <w:shd w:val="clear" w:color="auto" w:fill="auto"/>
        <w:tabs>
          <w:tab w:val="left" w:pos="306"/>
        </w:tabs>
        <w:spacing w:after="0" w:line="240" w:lineRule="auto"/>
        <w:jc w:val="both"/>
      </w:pPr>
      <w:r>
        <w:rPr>
          <w:lang w:val="ru"/>
        </w:rPr>
        <w:t>Риск существования Цифровых активов только в распределенном реестре</w:t>
      </w:r>
      <w:proofErr w:type="gramStart"/>
      <w:r>
        <w:rPr>
          <w:lang w:val="ru"/>
        </w:rPr>
        <w:t>: Если</w:t>
      </w:r>
      <w:proofErr w:type="gramEnd"/>
      <w:r>
        <w:rPr>
          <w:lang w:val="ru"/>
        </w:rPr>
        <w:t xml:space="preserve"> явно не указано иное, распределенные реестры, в которых и на которых существуют Цифровые активы, находятся вне сферы влияния Компании. Цифровые активы могут быть подвержены событиям, характерным для соответствующего распределенного реестра, таким как хардфорки или софтфорки в блокчейне, которые могут, помимо прочего, привести к созданию новых или конкурирующих Цифровых активов, отрицательно повлиять на функциональность, конвертируемость или передаваемость или привести к полной или частичной потере единиц или снижению (включая снижение до нуля) стоимости Цифровых активов Клиента.</w:t>
      </w:r>
    </w:p>
    <w:p w14:paraId="1EF4D308" w14:textId="77777777" w:rsidR="00B33348" w:rsidRPr="0057781B" w:rsidRDefault="007C3B27" w:rsidP="002C713B">
      <w:pPr>
        <w:pStyle w:val="1"/>
        <w:numPr>
          <w:ilvl w:val="0"/>
          <w:numId w:val="2"/>
        </w:numPr>
        <w:shd w:val="clear" w:color="auto" w:fill="auto"/>
        <w:tabs>
          <w:tab w:val="left" w:pos="306"/>
        </w:tabs>
        <w:spacing w:after="0" w:line="240" w:lineRule="auto"/>
        <w:jc w:val="both"/>
        <w:rPr>
          <w:lang w:val="ru-RU"/>
        </w:rPr>
      </w:pPr>
      <w:r>
        <w:rPr>
          <w:lang w:val="ru"/>
        </w:rPr>
        <w:t xml:space="preserve">Риск необратимости транзакций / ошибочных инструкций: Транзакции базового уровня в блокчейне или другом распределенном реестре являются необратимыми и </w:t>
      </w:r>
      <w:r>
        <w:rPr>
          <w:lang w:val="ru"/>
        </w:rPr>
        <w:lastRenderedPageBreak/>
        <w:t>окончательными, а историю транзакций нецелесообразно изменять с вычислительной точки зрения (т.е. потребует больше вычислительной мощности, чем разумно ожидать, чтобы она была доступна любому человеку или группе в любое время). Как следствие, если Клиент инициирует или запрашивает перевод цифровых активов с использованием неверного адреса цифрового реестра, будет невозможно идентифицировать получателя и отменить дефектную транзакцию. Этот риск также применяется, если Клиент пытается передать Цифровые активы Компании, используя неверный адрес цифрового реестра.</w:t>
      </w:r>
    </w:p>
    <w:p w14:paraId="3150A3A3" w14:textId="77777777" w:rsidR="00B33348" w:rsidRPr="0057781B" w:rsidRDefault="007C3B27" w:rsidP="002C713B">
      <w:pPr>
        <w:pStyle w:val="1"/>
        <w:numPr>
          <w:ilvl w:val="0"/>
          <w:numId w:val="2"/>
        </w:numPr>
        <w:shd w:val="clear" w:color="auto" w:fill="auto"/>
        <w:tabs>
          <w:tab w:val="left" w:pos="306"/>
        </w:tabs>
        <w:spacing w:after="0" w:line="240" w:lineRule="auto"/>
        <w:jc w:val="both"/>
        <w:rPr>
          <w:lang w:val="ru-RU"/>
        </w:rPr>
      </w:pPr>
      <w:r>
        <w:rPr>
          <w:lang w:val="ru"/>
        </w:rPr>
        <w:t>Риск задержки исполнения: Выполнение транзакций с цифровыми активами в блокчейне или другом распределенном реестре подлежит проверке и другим процессам с участием нескольких сторонних субъектов/узлов с использованием развивающихся технологий. Это может привести к значительным периодам ожидания и задержкам, в течение которых Клиент может быть лишен возможности распоряжаться соответствующими Цифровыми активами, в то время как их стоимость может значительно колебаться или иным образом может привести к убыткам или ущербу.</w:t>
      </w:r>
    </w:p>
    <w:p w14:paraId="7DA273DC" w14:textId="77777777" w:rsidR="00B33348" w:rsidRDefault="007C3B27" w:rsidP="002C713B">
      <w:pPr>
        <w:pStyle w:val="1"/>
        <w:numPr>
          <w:ilvl w:val="0"/>
          <w:numId w:val="2"/>
        </w:numPr>
        <w:shd w:val="clear" w:color="auto" w:fill="auto"/>
        <w:tabs>
          <w:tab w:val="left" w:pos="306"/>
        </w:tabs>
        <w:spacing w:after="0" w:line="240" w:lineRule="auto"/>
        <w:jc w:val="both"/>
      </w:pPr>
      <w:r>
        <w:rPr>
          <w:lang w:val="ru"/>
        </w:rPr>
        <w:t>Риск слабых мест безопасности в базовом коде или технологии: существует риск того, что разработчики или другие третьи лица могут добровольно или непреднамеренно внести слабые места или ошибки в базовый код или технологию цифрового актива, которые могут быть использованы в различных типах атак. Успешные атаки (или восприятие технологической слабости) могут негативно повлиять на функциональность, конвертируемость или передаваемость или привести к полной или частичной потере единиц или снижению (в том числе до нуля) стоимости Цифровых активов Клиента.</w:t>
      </w:r>
    </w:p>
    <w:p w14:paraId="5C43C258" w14:textId="77777777" w:rsidR="00B33348" w:rsidRPr="0057781B" w:rsidRDefault="007C3B27" w:rsidP="002C713B">
      <w:pPr>
        <w:pStyle w:val="1"/>
        <w:shd w:val="clear" w:color="auto" w:fill="auto"/>
        <w:spacing w:after="0" w:line="240" w:lineRule="auto"/>
        <w:jc w:val="both"/>
        <w:rPr>
          <w:lang w:val="ru-RU"/>
        </w:rPr>
      </w:pPr>
      <w:r>
        <w:rPr>
          <w:lang w:val="ru"/>
        </w:rPr>
        <w:t>- Риск прорывов в области криптографии, например, разработки квантовых компьютеров: Современное состояние криптографии, включая цифровое шифрование, может развиваться с течением времени. Достижения в методах расшифровки кода и технические достижения (в том числе в отношении вычислительной мощности, необходимой для развертывания таких методов) могут представлять риски для безопасности Цифровых активов и, в случае использования, могут привести к краже, потере единиц или снижению стоимости (включая снижение до нуля) Цифровых активов Клиента.</w:t>
      </w:r>
    </w:p>
    <w:p w14:paraId="2E839AE3" w14:textId="2A25282D" w:rsidR="00B33348" w:rsidRPr="0057781B" w:rsidRDefault="007C3B27" w:rsidP="002C713B">
      <w:pPr>
        <w:pStyle w:val="1"/>
        <w:shd w:val="clear" w:color="auto" w:fill="auto"/>
        <w:spacing w:after="0" w:line="240" w:lineRule="auto"/>
        <w:jc w:val="both"/>
        <w:rPr>
          <w:lang w:val="ru-RU"/>
        </w:rPr>
      </w:pPr>
      <w:r>
        <w:rPr>
          <w:lang w:val="ru"/>
        </w:rPr>
        <w:t>- Риски, присущие механизмам консенсуса, и риск концентрации: DLT может зависеть от независимых валидаторов или других форм формирования консенсуса или валидации, подверженных внешним атакам. К потенциальным атакам относятся, например, атаки на коллизии, атаки 51%, атаки пыли и атаки на цензуру. В случае успеха такие атаки могут, например, позволить злоумышленнику получить контроль над Цифровыми активами, участвовать в двойном расходовании одного и того же Цифрового актива и/или иным образом злоупотреблять личностью или персональными данными других пользователей. Кроме того, любая такая атака может отрицательно повлиять на функциональность, конвертируемость или передаваемость или привести к полной или частичной потере единиц или снижению (включая снижение до нуля) стоимости Цифровых активов Клиента. Риск успешной атаки повышен в Digital Assets на основе DLT-архитектуры с высокой степенью концентрации владения юнитами или сетевых функций с небольшим количеством сторон.</w:t>
      </w:r>
    </w:p>
    <w:p w14:paraId="6E8319E4" w14:textId="77777777" w:rsidR="00395566" w:rsidRPr="0057781B" w:rsidRDefault="00395566" w:rsidP="002C713B">
      <w:pPr>
        <w:pStyle w:val="1"/>
        <w:shd w:val="clear" w:color="auto" w:fill="auto"/>
        <w:spacing w:after="0" w:line="240" w:lineRule="auto"/>
        <w:jc w:val="both"/>
        <w:rPr>
          <w:lang w:val="ru-RU"/>
        </w:rPr>
      </w:pPr>
    </w:p>
    <w:p w14:paraId="09D9C60B" w14:textId="36852DF9" w:rsidR="00B33348" w:rsidRDefault="007C3B27" w:rsidP="00395566">
      <w:pPr>
        <w:pStyle w:val="11"/>
        <w:keepNext/>
        <w:keepLines/>
        <w:numPr>
          <w:ilvl w:val="0"/>
          <w:numId w:val="21"/>
        </w:numPr>
        <w:shd w:val="clear" w:color="auto" w:fill="auto"/>
        <w:tabs>
          <w:tab w:val="left" w:pos="360"/>
        </w:tabs>
        <w:spacing w:after="0" w:line="240" w:lineRule="auto"/>
        <w:jc w:val="both"/>
        <w:outlineLvl w:val="9"/>
      </w:pPr>
      <w:bookmarkStart w:id="8" w:name="bookmark8"/>
      <w:bookmarkStart w:id="9" w:name="bookmark9"/>
      <w:r>
        <w:rPr>
          <w:lang w:val="ru"/>
        </w:rPr>
        <w:t>Правовые и регуляторные риски</w:t>
      </w:r>
      <w:bookmarkEnd w:id="8"/>
      <w:bookmarkEnd w:id="9"/>
    </w:p>
    <w:p w14:paraId="2E4183E6" w14:textId="77777777" w:rsidR="00395566" w:rsidRDefault="00395566" w:rsidP="00395566">
      <w:pPr>
        <w:pStyle w:val="11"/>
        <w:keepNext/>
        <w:keepLines/>
        <w:shd w:val="clear" w:color="auto" w:fill="auto"/>
        <w:tabs>
          <w:tab w:val="left" w:pos="360"/>
        </w:tabs>
        <w:spacing w:after="0" w:line="240" w:lineRule="auto"/>
        <w:jc w:val="both"/>
        <w:outlineLvl w:val="9"/>
      </w:pPr>
    </w:p>
    <w:p w14:paraId="028F43BB" w14:textId="77777777" w:rsidR="00B33348" w:rsidRPr="0057781B" w:rsidRDefault="007C3B27" w:rsidP="002C713B">
      <w:pPr>
        <w:pStyle w:val="1"/>
        <w:shd w:val="clear" w:color="auto" w:fill="auto"/>
        <w:spacing w:after="0" w:line="240" w:lineRule="auto"/>
        <w:jc w:val="both"/>
        <w:rPr>
          <w:lang w:val="ru-RU"/>
        </w:rPr>
      </w:pPr>
      <w:r>
        <w:rPr>
          <w:lang w:val="ru"/>
        </w:rPr>
        <w:t>Риски, связанные с Цифровыми активами, связанные с нормативно-правовой средой, могут включать, помимо прочего:</w:t>
      </w:r>
    </w:p>
    <w:p w14:paraId="4D260518" w14:textId="77777777" w:rsidR="00B33348" w:rsidRPr="0057781B" w:rsidRDefault="007C3B27" w:rsidP="002C713B">
      <w:pPr>
        <w:pStyle w:val="1"/>
        <w:shd w:val="clear" w:color="auto" w:fill="auto"/>
        <w:spacing w:after="0" w:line="240" w:lineRule="auto"/>
        <w:jc w:val="both"/>
        <w:rPr>
          <w:lang w:val="ru-RU"/>
        </w:rPr>
      </w:pPr>
      <w:r>
        <w:rPr>
          <w:lang w:val="ru"/>
        </w:rPr>
        <w:t xml:space="preserve">- Риск несоблюдения или изменения нормативно-правовой базы: Нормативно-правовая база, регулирующая цифровые активы в МФЦА, далека от устоявшейся и постоянно развивается. Существующие правила и положения, изменения в нормативно-правовой базе </w:t>
      </w:r>
      <w:r>
        <w:rPr>
          <w:lang w:val="ru"/>
        </w:rPr>
        <w:lastRenderedPageBreak/>
        <w:t>и соответствующие меры регулирующих органов или других государственных органов могут повлиять на соответствующую эмиссию, внутреннюю и международную торговлю и передачу или конвертируемость Цифровых активов Клиента и потенциально могут привести к полной или частичной потере единиц или снижению их стоимости (включая снижение до нуля).</w:t>
      </w:r>
    </w:p>
    <w:p w14:paraId="469E5159" w14:textId="77777777" w:rsidR="00B33348" w:rsidRPr="0057781B" w:rsidRDefault="007C3B27" w:rsidP="002C713B">
      <w:pPr>
        <w:pStyle w:val="1"/>
        <w:shd w:val="clear" w:color="auto" w:fill="auto"/>
        <w:spacing w:after="0" w:line="240" w:lineRule="auto"/>
        <w:jc w:val="both"/>
        <w:rPr>
          <w:lang w:val="ru-RU"/>
        </w:rPr>
      </w:pPr>
      <w:r>
        <w:rPr>
          <w:lang w:val="ru"/>
        </w:rPr>
        <w:t>- Риск надзорных мер в одной или нескольких юрисдикциях: Цифровые активы, их эмитенты или другие вовлеченные стороны, поставщики финансовых и других услуг могут стать объектом расследований регулирующих органов, судебных запретов или других мер, которые потенциально могут привести к полной или частичной потере или уменьшению стоимости Цифровых активов Клиента, повлиять на способность предлагать Цифровые активы Клиенту или иным образом повлиять на Клиента. Кроме того, такие меры могут препятствовать, ограничивать или запрещать Клиенту владеть Цифровыми активами или совершать транзакции с ними.</w:t>
      </w:r>
    </w:p>
    <w:p w14:paraId="42A395D4" w14:textId="014E5687" w:rsidR="00B33348" w:rsidRPr="0057781B" w:rsidRDefault="007C3B27" w:rsidP="002C713B">
      <w:pPr>
        <w:pStyle w:val="1"/>
        <w:shd w:val="clear" w:color="auto" w:fill="auto"/>
        <w:spacing w:after="0" w:line="240" w:lineRule="auto"/>
        <w:jc w:val="both"/>
        <w:rPr>
          <w:lang w:val="ru-RU"/>
        </w:rPr>
      </w:pPr>
      <w:r>
        <w:rPr>
          <w:lang w:val="ru"/>
        </w:rPr>
        <w:t>- Риск конфискации цифровых активов: Технология, лежащая в основе цифровых активов, позволяет проводить тщательные судебные расследования, которые могут охватить период времени и количество транзакций, которые были бы невозможны при аналогичных усилиях в контексте традиционных активов. В зависимости от конкретного случая такие судебные расследования могут охватывать период, восходящий к моменту создания соответствующего цифрового актива. В результате Цифровые активы Клиента могут подвергаться риску конфискации судами или государственными органами, если они ранее использовались для преступной деятельности или в связи с ней, или могут иным образом считаться «испорченными». Освобождение конфискованных Цифровых активов может регулироваться иностранными законами или нормативными актами, и соответствующие процедуры могут привести к расходам, задержкам или другим неблагоприятным последствиям для Клиента.</w:t>
      </w:r>
    </w:p>
    <w:p w14:paraId="355A2CD2" w14:textId="77777777" w:rsidR="00395566" w:rsidRPr="0057781B" w:rsidRDefault="00395566" w:rsidP="002C713B">
      <w:pPr>
        <w:pStyle w:val="1"/>
        <w:shd w:val="clear" w:color="auto" w:fill="auto"/>
        <w:spacing w:after="0" w:line="240" w:lineRule="auto"/>
        <w:jc w:val="both"/>
        <w:rPr>
          <w:lang w:val="ru-RU"/>
        </w:rPr>
      </w:pPr>
    </w:p>
    <w:p w14:paraId="18B7BF55" w14:textId="77777777" w:rsidR="00B33348" w:rsidRDefault="007C3B27" w:rsidP="00395566">
      <w:pPr>
        <w:pStyle w:val="11"/>
        <w:keepNext/>
        <w:keepLines/>
        <w:numPr>
          <w:ilvl w:val="0"/>
          <w:numId w:val="21"/>
        </w:numPr>
        <w:shd w:val="clear" w:color="auto" w:fill="auto"/>
        <w:tabs>
          <w:tab w:val="left" w:pos="360"/>
        </w:tabs>
        <w:spacing w:after="0" w:line="240" w:lineRule="auto"/>
        <w:ind w:left="0" w:firstLine="0"/>
        <w:jc w:val="both"/>
        <w:outlineLvl w:val="9"/>
      </w:pPr>
      <w:bookmarkStart w:id="10" w:name="bookmark10"/>
      <w:bookmarkStart w:id="11" w:name="bookmark11"/>
      <w:r>
        <w:rPr>
          <w:lang w:val="ru"/>
        </w:rPr>
        <w:t>Рыночные риски</w:t>
      </w:r>
      <w:bookmarkEnd w:id="10"/>
      <w:bookmarkEnd w:id="11"/>
    </w:p>
    <w:p w14:paraId="5C33E722" w14:textId="77777777" w:rsidR="00B33348" w:rsidRPr="0057781B" w:rsidRDefault="007C3B27" w:rsidP="002C713B">
      <w:pPr>
        <w:pStyle w:val="1"/>
        <w:shd w:val="clear" w:color="auto" w:fill="auto"/>
        <w:spacing w:after="0" w:line="240" w:lineRule="auto"/>
        <w:jc w:val="both"/>
        <w:rPr>
          <w:lang w:val="ru-RU"/>
        </w:rPr>
      </w:pPr>
      <w:r>
        <w:rPr>
          <w:lang w:val="ru"/>
        </w:rPr>
        <w:t>Риски, связанные с Цифровыми активами, относящиеся к соответствующим рынкам, торговым платформам и системам, могут включать, помимо прочего:</w:t>
      </w:r>
    </w:p>
    <w:p w14:paraId="4E36F996" w14:textId="77777777" w:rsidR="00B33348" w:rsidRPr="0057781B" w:rsidRDefault="007C3B27" w:rsidP="002C713B">
      <w:pPr>
        <w:pStyle w:val="1"/>
        <w:shd w:val="clear" w:color="auto" w:fill="auto"/>
        <w:spacing w:after="0" w:line="240" w:lineRule="auto"/>
        <w:jc w:val="both"/>
        <w:rPr>
          <w:lang w:val="ru-RU"/>
        </w:rPr>
      </w:pPr>
      <w:r>
        <w:rPr>
          <w:lang w:val="ru"/>
        </w:rPr>
        <w:t>- Рынки цифровых активов развиваются: Рынки цифровых активов развиваются и могут быть подвержены повышенной волатильности и ограниченной прозрачности и надежности, задержкам или сбоям исполнения, которые потенциально могут привести к убыткам или другим неблагоприятным последствиям для Клиента.</w:t>
      </w:r>
    </w:p>
    <w:p w14:paraId="2E11E176" w14:textId="77777777" w:rsidR="00B33348" w:rsidRPr="0057781B" w:rsidRDefault="007C3B27" w:rsidP="002C713B">
      <w:pPr>
        <w:pStyle w:val="1"/>
        <w:shd w:val="clear" w:color="auto" w:fill="auto"/>
        <w:spacing w:after="0" w:line="240" w:lineRule="auto"/>
        <w:jc w:val="both"/>
        <w:rPr>
          <w:lang w:val="ru-RU"/>
        </w:rPr>
      </w:pPr>
      <w:r>
        <w:rPr>
          <w:lang w:val="ru"/>
        </w:rPr>
        <w:t>- Задержки в выполнении или расчетах по транзакциям с цифровыми активами: Выполнение и расчеты по транзакциям с цифровыми активами могут зависеть от особенностей соответствующего распределенного реестра или от участия третьих лиц в соответствующей сети, в частности, от доступности майнеров или других обрабатывающих организаций. Задержки или сбои в выполнении или расчетах по сделкам могут привести к убыткам или другим неблагоприятным последствиям для Клиента.</w:t>
      </w:r>
    </w:p>
    <w:p w14:paraId="7F0329E7" w14:textId="77777777" w:rsidR="00B33348" w:rsidRPr="0057781B" w:rsidRDefault="007C3B27" w:rsidP="002C713B">
      <w:pPr>
        <w:pStyle w:val="1"/>
        <w:shd w:val="clear" w:color="auto" w:fill="auto"/>
        <w:spacing w:after="0" w:line="240" w:lineRule="auto"/>
        <w:jc w:val="both"/>
        <w:rPr>
          <w:lang w:val="ru-RU"/>
        </w:rPr>
      </w:pPr>
      <w:r>
        <w:rPr>
          <w:lang w:val="ru"/>
        </w:rPr>
        <w:t>- Оценочный риск, в частности, криптовалют: криптовалюты, как правило, не привязаны к какой-либо национальной или наднациональной валюте или к какому-либо активу или товару, торгуемому на регулируемом рынке, и могут быть подвержены повышенной волатильности. Рыночные обменные курсы криптовалютных активов могут меняться в период между выдачей распоряжения на продажу или покупку и исполнением.</w:t>
      </w:r>
    </w:p>
    <w:p w14:paraId="376B9268" w14:textId="77777777" w:rsidR="00B33348" w:rsidRPr="0057781B" w:rsidRDefault="007C3B27" w:rsidP="002C713B">
      <w:pPr>
        <w:pStyle w:val="1"/>
        <w:shd w:val="clear" w:color="auto" w:fill="auto"/>
        <w:spacing w:after="0" w:line="240" w:lineRule="auto"/>
        <w:jc w:val="both"/>
        <w:rPr>
          <w:lang w:val="ru-RU"/>
        </w:rPr>
      </w:pPr>
      <w:r>
        <w:rPr>
          <w:lang w:val="ru"/>
        </w:rPr>
        <w:t xml:space="preserve">Торгуя, совершая сделки, инвестируя и удерживая позиции в Цифровых активах, Клиент признает и принимает риски, описанные в настоящем Отказе от ответственности. Клиенты, которые не понимают настоящего Отказа от ответственности, должны обратиться за помощью к компетентному консультанту или воздержаться от участия в деятельности, </w:t>
      </w:r>
      <w:r>
        <w:rPr>
          <w:lang w:val="ru"/>
        </w:rPr>
        <w:lastRenderedPageBreak/>
        <w:t>связанной с Цифровыми активами.</w:t>
      </w:r>
    </w:p>
    <w:p w14:paraId="34DC73A1" w14:textId="077F36C8" w:rsidR="00B33348" w:rsidRPr="0057781B" w:rsidRDefault="007C3B27" w:rsidP="002C713B">
      <w:pPr>
        <w:pStyle w:val="1"/>
        <w:shd w:val="clear" w:color="auto" w:fill="auto"/>
        <w:spacing w:after="0" w:line="240" w:lineRule="auto"/>
        <w:jc w:val="both"/>
        <w:rPr>
          <w:lang w:val="ru-RU"/>
        </w:rPr>
      </w:pPr>
      <w:r>
        <w:rPr>
          <w:lang w:val="ru"/>
        </w:rPr>
        <w:t>Компания не несет ответственности за любые убытки или ущерб, возникшие в результате реализации рисков, характерных для Цифровых активов, которые находятся вне сферы влияния Компании. Кроме того, Компания не обязана информировать Клиента о  реализации или  возможности реализации любого из описанных выше рисков или любых других рисков, связанных с Цифровыми активами.</w:t>
      </w:r>
    </w:p>
    <w:sectPr w:rsidR="00B33348" w:rsidRPr="0057781B">
      <w:headerReference w:type="default" r:id="rId7"/>
      <w:footerReference w:type="default" r:id="rId8"/>
      <w:pgSz w:w="11900" w:h="16840"/>
      <w:pgMar w:top="1682" w:right="898" w:bottom="1727" w:left="163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46723" w14:textId="77777777" w:rsidR="00C340C2" w:rsidRDefault="00C340C2">
      <w:r>
        <w:rPr>
          <w:lang w:val="ru"/>
        </w:rPr>
        <w:separator/>
      </w:r>
    </w:p>
  </w:endnote>
  <w:endnote w:type="continuationSeparator" w:id="0">
    <w:p w14:paraId="1EAC916E" w14:textId="77777777" w:rsidR="00C340C2" w:rsidRDefault="00C340C2">
      <w:r>
        <w:rPr>
          <w:lang w:val="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5A6D0" w14:textId="77777777" w:rsidR="00B33348" w:rsidRDefault="007C3B27">
    <w:pPr>
      <w:spacing w:line="1" w:lineRule="exact"/>
    </w:pPr>
    <w:r>
      <w:rPr>
        <w:noProof/>
        <w:lang w:val="ru"/>
      </w:rPr>
      <mc:AlternateContent>
        <mc:Choice Requires="wps">
          <w:drawing>
            <wp:anchor distT="0" distB="0" distL="0" distR="0" simplePos="0" relativeHeight="62914692" behindDoc="1" locked="0" layoutInCell="1" allowOverlap="1" wp14:anchorId="357EFA72" wp14:editId="635AA740">
              <wp:simplePos x="0" y="0"/>
              <wp:positionH relativeFrom="page">
                <wp:posOffset>3694430</wp:posOffset>
              </wp:positionH>
              <wp:positionV relativeFrom="page">
                <wp:posOffset>9660255</wp:posOffset>
              </wp:positionV>
              <wp:extent cx="633730" cy="161290"/>
              <wp:effectExtent l="0" t="0" r="0" b="0"/>
              <wp:wrapNone/>
              <wp:docPr id="5" name="Shape 5"/>
              <wp:cNvGraphicFramePr/>
              <a:graphic xmlns:a="http://schemas.openxmlformats.org/drawingml/2006/main">
                <a:graphicData uri="http://schemas.microsoft.com/office/word/2010/wordprocessingShape">
                  <wps:wsp>
                    <wps:cNvSpPr txBox="1"/>
                    <wps:spPr>
                      <a:xfrm>
                        <a:off x="0" y="0"/>
                        <a:ext cx="633730" cy="161290"/>
                      </a:xfrm>
                      <a:prstGeom prst="rect">
                        <a:avLst/>
                      </a:prstGeom>
                      <a:noFill/>
                    </wps:spPr>
                    <wps:txbx>
                      <w:txbxContent>
                        <w:p w14:paraId="7A5941FE" w14:textId="77777777" w:rsidR="00B33348" w:rsidRDefault="007C3B27">
                          <w:pPr>
                            <w:pStyle w:val="22"/>
                            <w:shd w:val="clear" w:color="auto" w:fill="auto"/>
                            <w:rPr>
                              <w:sz w:val="22"/>
                              <w:szCs w:val="22"/>
                            </w:rPr>
                          </w:pPr>
                          <w:r>
                            <w:rPr>
                              <w:sz w:val="22"/>
                              <w:szCs w:val="22"/>
                              <w:lang w:val="ru"/>
                            </w:rPr>
                            <w:t xml:space="preserve">Страница </w:t>
                          </w:r>
                          <w:r>
                            <w:rPr>
                              <w:b/>
                              <w:bCs/>
                              <w:sz w:val="22"/>
                              <w:szCs w:val="22"/>
                              <w:lang w:val="ru"/>
                            </w:rPr>
                            <w:fldChar w:fldCharType="begin"/>
                          </w:r>
                          <w:r>
                            <w:rPr>
                              <w:b/>
                              <w:bCs/>
                              <w:sz w:val="22"/>
                              <w:szCs w:val="22"/>
                              <w:lang w:val="ru"/>
                            </w:rPr>
                            <w:instrText xml:space="preserve"> PAGE \* MERGEFORMAT </w:instrText>
                          </w:r>
                          <w:r>
                            <w:rPr>
                              <w:b/>
                              <w:bCs/>
                              <w:sz w:val="22"/>
                              <w:szCs w:val="22"/>
                              <w:lang w:val="ru"/>
                            </w:rPr>
                            <w:fldChar w:fldCharType="separate"/>
                          </w:r>
                          <w:r>
                            <w:rPr>
                              <w:b/>
                              <w:bCs/>
                              <w:sz w:val="22"/>
                              <w:szCs w:val="22"/>
                              <w:lang w:val="ru"/>
                            </w:rPr>
                            <w:t>#</w:t>
                          </w:r>
                          <w:r>
                            <w:rPr>
                              <w:b/>
                              <w:bCs/>
                              <w:sz w:val="22"/>
                              <w:szCs w:val="22"/>
                              <w:lang w:val="ru"/>
                            </w:rPr>
                            <w:fldChar w:fldCharType="end"/>
                          </w:r>
                          <w:r>
                            <w:rPr>
                              <w:b/>
                              <w:bCs/>
                              <w:sz w:val="22"/>
                              <w:szCs w:val="22"/>
                              <w:lang w:val="ru"/>
                            </w:rPr>
                            <w:t xml:space="preserve"> </w:t>
                          </w:r>
                          <w:r>
                            <w:rPr>
                              <w:sz w:val="22"/>
                              <w:szCs w:val="22"/>
                              <w:lang w:val="ru"/>
                            </w:rPr>
                            <w:t xml:space="preserve">из </w:t>
                          </w:r>
                          <w:r>
                            <w:rPr>
                              <w:b/>
                              <w:bCs/>
                              <w:sz w:val="22"/>
                              <w:szCs w:val="22"/>
                              <w:lang w:val="ru"/>
                            </w:rPr>
                            <w:t>7</w:t>
                          </w:r>
                        </w:p>
                      </w:txbxContent>
                    </wps:txbx>
                    <wps:bodyPr wrap="none" lIns="0" tIns="0" rIns="0" bIns="0">
                      <a:spAutoFit/>
                    </wps:bodyPr>
                  </wps:wsp>
                </a:graphicData>
              </a:graphic>
            </wp:anchor>
          </w:drawing>
        </mc:Choice>
        <mc:Fallback xmlns:a="http://schemas.openxmlformats.org/drawingml/2006/main">
          <w:pict>
            <v:shapetype id="_x0000_t202" coordsize="21600,21600" o:spt="202" path="m,l,21600r21600,l21600,xe" w14:anchorId="357EFA72">
              <v:stroke joinstyle="miter"/>
              <v:path gradientshapeok="t" o:connecttype="rect"/>
            </v:shapetype>
            <v:shape id="Shape 5" style="position:absolute;margin-left:290.9pt;margin-top:760.65pt;width:49.9pt;height:12.7pt;z-index:-440401788;visibility:visible;mso-wrap-style:none;mso-wrap-distance-left:0;mso-wrap-distance-top:0;mso-wrap-distance-right:0;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">
              <v:textbox style="mso-fit-shape-to-text:t" inset="0,0,0,0">
                <w:txbxContent>
                  <w:p w:rsidR="00B33348" w:rsidRDefault="007C3B27" w14:paraId="7A5941FE" w14:textId="77777777">
                    <w:pPr>
                      <w:pStyle w:val="22"/>
                      <w:shd w:val="clear" w:color="auto" w:fill="auto"/>
                      <w:rPr>
                        <w:sz w:val="22"/>
                        <w:szCs w:val="22"/>
                      </w:rPr>
                    </w:pPr>
                    <w:r>
                      <w:rPr>
                        <w:sz w:val="22"/>
                        <w:szCs w:val="22"/>
                        <w:lang w:val="ru"/>
                      </w:rPr>
                      <w:t xml:space="preserve">Страница </w:t>
                    </w:r>
                    <w:r>
                      <w:rPr>
                        <w:b/>
                        <w:bCs/>
                        <w:sz w:val="22"/>
                        <w:szCs w:val="22"/>
                        <w:lang w:val="ru"/>
                      </w:rPr>
                      <w:fldChar w:fldCharType="begin"/>
                    </w:r>
                    <w:r>
                      <w:rPr>
                        <w:b/>
                        <w:bCs/>
                        <w:sz w:val="22"/>
                        <w:szCs w:val="22"/>
                        <w:lang w:val="ru"/>
                      </w:rPr>
                      <w:instrText xml:space="preserve"> PAGE \* MERGEFORMAT </w:instrText>
                    </w:r>
                    <w:r>
                      <w:rPr>
                        <w:b/>
                        <w:bCs/>
                        <w:sz w:val="22"/>
                        <w:szCs w:val="22"/>
                        <w:lang w:val="ru"/>
                      </w:rPr>
                      <w:fldChar w:fldCharType="separate"/>
                    </w:r>
                    <w:r>
                      <w:rPr>
                        <w:b/>
                        <w:bCs/>
                        <w:sz w:val="22"/>
                        <w:szCs w:val="22"/>
                        <w:lang w:val="ru"/>
                      </w:rPr>
                      <w:t>#</w:t>
                    </w:r>
                    <w:r>
                      <w:rPr>
                        <w:b/>
                        <w:bCs/>
                        <w:sz w:val="22"/>
                        <w:szCs w:val="22"/>
                        <w:lang w:val="ru"/>
                      </w:rPr>
                      <w:fldChar w:fldCharType="end"/>
                    </w:r>
                    <w:r>
                      <w:rPr>
                        <w:b/>
                        <w:bCs/>
                        <w:sz w:val="22"/>
                        <w:szCs w:val="22"/>
                        <w:lang w:val="ru"/>
                      </w:rPr>
                      <w:t xml:space="preserve"> </w:t>
                    </w:r>
                    <w:r>
                      <w:rPr>
                        <w:sz w:val="22"/>
                        <w:szCs w:val="22"/>
                        <w:lang w:val="ru"/>
                      </w:rPr>
                      <w:t xml:space="preserve">из </w:t>
                    </w:r>
                    <w:r>
                      <w:rPr>
                        <w:b/>
                        <w:bCs/>
                        <w:sz w:val="22"/>
                        <w:szCs w:val="22"/>
                        <w:lang w:val="ru"/>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47801" w14:textId="77777777" w:rsidR="00C340C2" w:rsidRDefault="00C340C2"/>
  </w:footnote>
  <w:footnote w:type="continuationSeparator" w:id="0">
    <w:p w14:paraId="18BAB02F" w14:textId="77777777" w:rsidR="00C340C2" w:rsidRDefault="00C340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5DAF4" w14:textId="4734CFE2" w:rsidR="00B33348" w:rsidRPr="0057781B" w:rsidRDefault="00B33348" w:rsidP="0057781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3A65"/>
    <w:multiLevelType w:val="multilevel"/>
    <w:tmpl w:val="4C6C4F52"/>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4D77E4"/>
    <w:multiLevelType w:val="hybridMultilevel"/>
    <w:tmpl w:val="57560C5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D37C2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9C365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963153"/>
    <w:multiLevelType w:val="hybridMultilevel"/>
    <w:tmpl w:val="F5CC4C3C"/>
    <w:lvl w:ilvl="0" w:tplc="04190013">
      <w:start w:val="1"/>
      <w:numFmt w:val="upperRoman"/>
      <w:lvlText w:val="%1."/>
      <w:lvlJc w:val="righ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A7104B9"/>
    <w:multiLevelType w:val="multilevel"/>
    <w:tmpl w:val="B59468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B836E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E16FF9"/>
    <w:multiLevelType w:val="hybridMultilevel"/>
    <w:tmpl w:val="E8C8C9A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A17BA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A790356"/>
    <w:multiLevelType w:val="multilevel"/>
    <w:tmpl w:val="BC744BF0"/>
    <w:lvl w:ilvl="0">
      <w:start w:val="5"/>
      <w:numFmt w:val="upperRoman"/>
      <w:lvlText w:val="%1."/>
      <w:lvlJc w:val="right"/>
      <w:pPr>
        <w:ind w:left="360" w:hanging="360"/>
      </w:pPr>
      <w:rPr>
        <w:rFonts w:hint="default"/>
        <w:b/>
        <w:bCs/>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7BC447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7210DC"/>
    <w:multiLevelType w:val="multilevel"/>
    <w:tmpl w:val="D62E4FF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2A07A2"/>
    <w:multiLevelType w:val="multilevel"/>
    <w:tmpl w:val="B60ED3AE"/>
    <w:lvl w:ilvl="0">
      <w:start w:val="1"/>
      <w:numFmt w:val="decimal"/>
      <w:lvlText w:val="%1."/>
      <w:lvlJc w:val="left"/>
      <w:pPr>
        <w:ind w:left="360" w:hanging="360"/>
      </w:pPr>
      <w:rPr>
        <w:rFonts w:hint="default"/>
        <w:b/>
        <w:bCs/>
        <w:i/>
        <w:iCs/>
        <w:smallCaps w:val="0"/>
        <w:strike w:val="0"/>
        <w:color w:val="000000"/>
        <w:spacing w:val="0"/>
        <w:w w:val="100"/>
        <w:position w:val="0"/>
        <w:sz w:val="24"/>
        <w:szCs w:val="24"/>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A3E033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B2A2297"/>
    <w:multiLevelType w:val="multilevel"/>
    <w:tmpl w:val="4C6C4F52"/>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AE346C2"/>
    <w:multiLevelType w:val="multilevel"/>
    <w:tmpl w:val="60BC7954"/>
    <w:lvl w:ilvl="0">
      <w:start w:val="4"/>
      <w:numFmt w:val="upperRoman"/>
      <w:lvlText w:val="%1."/>
      <w:lvlJc w:val="right"/>
      <w:pPr>
        <w:ind w:left="360" w:hanging="360"/>
      </w:pPr>
      <w:rPr>
        <w:rFonts w:hint="default"/>
        <w:b/>
        <w:bCs/>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6C7A5253"/>
    <w:multiLevelType w:val="multilevel"/>
    <w:tmpl w:val="041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6DF06363"/>
    <w:multiLevelType w:val="multilevel"/>
    <w:tmpl w:val="5BA6830C"/>
    <w:lvl w:ilvl="0">
      <w:start w:val="7"/>
      <w:numFmt w:val="upperRoman"/>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71604413"/>
    <w:multiLevelType w:val="multilevel"/>
    <w:tmpl w:val="B66241F6"/>
    <w:lvl w:ilvl="0">
      <w:start w:val="6"/>
      <w:numFmt w:val="upperRoman"/>
      <w:lvlText w:val="%1."/>
      <w:lvlJc w:val="right"/>
      <w:pPr>
        <w:ind w:left="360" w:hanging="360"/>
      </w:pPr>
      <w:rPr>
        <w:rFonts w:hint="default"/>
        <w:b/>
        <w:bCs/>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7C22D3F"/>
    <w:multiLevelType w:val="multilevel"/>
    <w:tmpl w:val="F8E04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333D0D"/>
    <w:multiLevelType w:val="multilevel"/>
    <w:tmpl w:val="0419001F"/>
    <w:lvl w:ilvl="0">
      <w:start w:val="1"/>
      <w:numFmt w:val="decimal"/>
      <w:lvlText w:val="%1."/>
      <w:lvlJc w:val="left"/>
      <w:pPr>
        <w:ind w:left="360" w:hanging="360"/>
      </w:pPr>
      <w:rPr>
        <w:rFonts w:hint="default"/>
        <w:b/>
        <w:bCs/>
        <w:i/>
        <w:iCs/>
        <w:smallCaps w:val="0"/>
        <w:strike w:val="0"/>
        <w:color w:val="000000"/>
        <w:spacing w:val="0"/>
        <w:w w:val="100"/>
        <w:position w:val="0"/>
        <w:sz w:val="24"/>
        <w:szCs w:val="24"/>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5"/>
  </w:num>
  <w:num w:numId="3">
    <w:abstractNumId w:val="14"/>
  </w:num>
  <w:num w:numId="4">
    <w:abstractNumId w:val="19"/>
  </w:num>
  <w:num w:numId="5">
    <w:abstractNumId w:val="0"/>
  </w:num>
  <w:num w:numId="6">
    <w:abstractNumId w:val="20"/>
  </w:num>
  <w:num w:numId="7">
    <w:abstractNumId w:val="8"/>
  </w:num>
  <w:num w:numId="8">
    <w:abstractNumId w:val="6"/>
  </w:num>
  <w:num w:numId="9">
    <w:abstractNumId w:val="7"/>
  </w:num>
  <w:num w:numId="10">
    <w:abstractNumId w:val="4"/>
  </w:num>
  <w:num w:numId="11">
    <w:abstractNumId w:val="15"/>
  </w:num>
  <w:num w:numId="12">
    <w:abstractNumId w:val="13"/>
  </w:num>
  <w:num w:numId="13">
    <w:abstractNumId w:val="3"/>
  </w:num>
  <w:num w:numId="14">
    <w:abstractNumId w:val="16"/>
  </w:num>
  <w:num w:numId="15">
    <w:abstractNumId w:val="1"/>
  </w:num>
  <w:num w:numId="16">
    <w:abstractNumId w:val="9"/>
  </w:num>
  <w:num w:numId="17">
    <w:abstractNumId w:val="10"/>
  </w:num>
  <w:num w:numId="18">
    <w:abstractNumId w:val="18"/>
  </w:num>
  <w:num w:numId="19">
    <w:abstractNumId w:val="2"/>
  </w:num>
  <w:num w:numId="20">
    <w:abstractNumId w:val="1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348"/>
    <w:rsid w:val="002C713B"/>
    <w:rsid w:val="00395566"/>
    <w:rsid w:val="0057781B"/>
    <w:rsid w:val="00624E14"/>
    <w:rsid w:val="007C3B27"/>
    <w:rsid w:val="00A002B4"/>
    <w:rsid w:val="00B33348"/>
    <w:rsid w:val="00C34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20642"/>
  <w15:docId w15:val="{52F47774-8126-419E-AED4-1926D82A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8"/>
      <w:szCs w:val="28"/>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Pr>
      <w:rFonts w:ascii="Times New Roman" w:eastAsia="Times New Roman" w:hAnsi="Times New Roman" w:cs="Times New Roman"/>
      <w:b/>
      <w:bCs/>
      <w:i/>
      <w:iCs/>
      <w:smallCaps w:val="0"/>
      <w:strike w:val="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u w:val="none"/>
    </w:rPr>
  </w:style>
  <w:style w:type="paragraph" w:customStyle="1" w:styleId="20">
    <w:name w:val="Основной текст (2)"/>
    <w:basedOn w:val="a"/>
    <w:link w:val="2"/>
    <w:pPr>
      <w:shd w:val="clear" w:color="auto" w:fill="FFFFFF"/>
      <w:spacing w:after="4380"/>
      <w:jc w:val="center"/>
    </w:pPr>
    <w:rPr>
      <w:rFonts w:ascii="Times New Roman" w:eastAsia="Times New Roman" w:hAnsi="Times New Roman" w:cs="Times New Roman"/>
      <w:b/>
      <w:bCs/>
      <w:sz w:val="28"/>
      <w:szCs w:val="28"/>
    </w:rPr>
  </w:style>
  <w:style w:type="paragraph" w:customStyle="1" w:styleId="1">
    <w:name w:val="Основной текст1"/>
    <w:basedOn w:val="a"/>
    <w:link w:val="a3"/>
    <w:pPr>
      <w:shd w:val="clear" w:color="auto" w:fill="FFFFFF"/>
      <w:spacing w:after="160" w:line="259" w:lineRule="auto"/>
    </w:pPr>
    <w:rPr>
      <w:rFonts w:ascii="Times New Roman" w:eastAsia="Times New Roman" w:hAnsi="Times New Roman" w:cs="Times New Roman"/>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11">
    <w:name w:val="Заголовок №1"/>
    <w:basedOn w:val="a"/>
    <w:link w:val="10"/>
    <w:pPr>
      <w:shd w:val="clear" w:color="auto" w:fill="FFFFFF"/>
      <w:spacing w:after="160" w:line="259" w:lineRule="auto"/>
      <w:outlineLvl w:val="0"/>
    </w:pPr>
    <w:rPr>
      <w:rFonts w:ascii="Times New Roman" w:eastAsia="Times New Roman" w:hAnsi="Times New Roman" w:cs="Times New Roman"/>
      <w:b/>
      <w:bCs/>
      <w:i/>
      <w:iCs/>
    </w:rPr>
  </w:style>
  <w:style w:type="paragraph" w:customStyle="1" w:styleId="a5">
    <w:name w:val="Другое"/>
    <w:basedOn w:val="a"/>
    <w:link w:val="a4"/>
    <w:pPr>
      <w:shd w:val="clear" w:color="auto" w:fill="FFFFFF"/>
      <w:spacing w:after="160" w:line="259" w:lineRule="auto"/>
    </w:pPr>
    <w:rPr>
      <w:rFonts w:ascii="Times New Roman" w:eastAsia="Times New Roman" w:hAnsi="Times New Roman" w:cs="Times New Roman"/>
    </w:rPr>
  </w:style>
  <w:style w:type="paragraph" w:styleId="a6">
    <w:name w:val="Balloon Text"/>
    <w:basedOn w:val="a"/>
    <w:link w:val="a7"/>
    <w:uiPriority w:val="99"/>
    <w:semiHidden/>
    <w:unhideWhenUsed/>
    <w:rsid w:val="007C3B27"/>
    <w:rPr>
      <w:rFonts w:ascii="Segoe UI" w:hAnsi="Segoe UI" w:cs="Segoe UI"/>
      <w:sz w:val="18"/>
      <w:szCs w:val="18"/>
    </w:rPr>
  </w:style>
  <w:style w:type="character" w:customStyle="1" w:styleId="a7">
    <w:name w:val="Текст выноски Знак"/>
    <w:basedOn w:val="a0"/>
    <w:link w:val="a6"/>
    <w:uiPriority w:val="99"/>
    <w:semiHidden/>
    <w:rsid w:val="007C3B27"/>
    <w:rPr>
      <w:rFonts w:ascii="Segoe UI" w:hAnsi="Segoe UI" w:cs="Segoe UI"/>
      <w:color w:val="000000"/>
      <w:sz w:val="18"/>
      <w:szCs w:val="18"/>
    </w:rPr>
  </w:style>
  <w:style w:type="character" w:styleId="a8">
    <w:name w:val="Placeholder Text"/>
    <w:basedOn w:val="a0"/>
    <w:uiPriority w:val="99"/>
    <w:semiHidden/>
    <w:rsid w:val="0057781B"/>
    <w:rPr>
      <w:color w:val="808080"/>
    </w:rPr>
  </w:style>
  <w:style w:type="paragraph" w:styleId="a9">
    <w:name w:val="header"/>
    <w:basedOn w:val="a"/>
    <w:link w:val="aa"/>
    <w:uiPriority w:val="99"/>
    <w:unhideWhenUsed/>
    <w:rsid w:val="0057781B"/>
    <w:pPr>
      <w:tabs>
        <w:tab w:val="center" w:pos="4677"/>
        <w:tab w:val="right" w:pos="9355"/>
      </w:tabs>
    </w:pPr>
  </w:style>
  <w:style w:type="character" w:customStyle="1" w:styleId="aa">
    <w:name w:val="Верхний колонтитул Знак"/>
    <w:basedOn w:val="a0"/>
    <w:link w:val="a9"/>
    <w:uiPriority w:val="99"/>
    <w:rsid w:val="0057781B"/>
    <w:rPr>
      <w:color w:val="000000"/>
    </w:rPr>
  </w:style>
  <w:style w:type="paragraph" w:styleId="ab">
    <w:name w:val="footer"/>
    <w:basedOn w:val="a"/>
    <w:link w:val="ac"/>
    <w:uiPriority w:val="99"/>
    <w:unhideWhenUsed/>
    <w:rsid w:val="0057781B"/>
    <w:pPr>
      <w:tabs>
        <w:tab w:val="center" w:pos="4677"/>
        <w:tab w:val="right" w:pos="9355"/>
      </w:tabs>
    </w:pPr>
  </w:style>
  <w:style w:type="character" w:customStyle="1" w:styleId="ac">
    <w:name w:val="Нижний колонтитул Знак"/>
    <w:basedOn w:val="a0"/>
    <w:link w:val="ab"/>
    <w:uiPriority w:val="99"/>
    <w:rsid w:val="0057781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3039</Words>
  <Characters>17327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Microsoft Word - Risk awareness - TPL 2021.docx</vt:lpstr>
    </vt:vector>
  </TitlesOfParts>
  <Company/>
  <LinksUpToDate>false</LinksUpToDate>
  <CharactersWithSpaces>20326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Осведомленность о рисках - TPL 2021.docx</dc:title>
  <dc:subject/>
  <dc:creator>Бахытжан Кенжебаев</dc:creator>
  <cp:keywords/>
  <dc:description/>
  <cp:lastModifiedBy>Arman Jussupov</cp:lastModifiedBy>
  <cp:revision>1</cp:revision>
  <dcterms:created xsi:type="dcterms:W3CDTF">2023-11-10T11:42:00Z</dcterms:created>
  <dcterms:modified xsi:type="dcterms:W3CDTF">2023-11-10T11:58:00Z</dcterms:modified>
  <cp:category/>
</cp:coreProperties>
</file>